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4DCF2A2A" w:rsidR="00B6048B"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381566">
        <w:rPr>
          <w:rFonts w:ascii="Times New Roman" w:eastAsia="Times New Roman" w:hAnsi="Times New Roman" w:cs="Times New Roman"/>
          <w:b/>
          <w:sz w:val="30"/>
          <w:szCs w:val="30"/>
        </w:rPr>
        <w:t>Second</w:t>
      </w:r>
      <w:r w:rsidR="00CC081C">
        <w:rPr>
          <w:rFonts w:ascii="Times New Roman" w:eastAsia="Times New Roman" w:hAnsi="Times New Roman" w:cs="Times New Roman"/>
          <w:b/>
          <w:sz w:val="30"/>
          <w:szCs w:val="30"/>
        </w:rPr>
        <w:t xml:space="preserve"> Quarter 2021</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FE29AC">
        <w:rPr>
          <w:rFonts w:ascii="Times New Roman" w:eastAsia="Times New Roman" w:hAnsi="Times New Roman" w:cs="Times New Roman"/>
          <w:sz w:val="27"/>
          <w:szCs w:val="27"/>
        </w:rPr>
        <w:t>January</w:t>
      </w:r>
      <w:r w:rsidR="006414CB">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26</w:t>
      </w:r>
      <w:r w:rsidR="00230875" w:rsidRPr="00230875">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w:t>
      </w:r>
      <w:r w:rsidR="0031283E">
        <w:rPr>
          <w:rFonts w:ascii="Times New Roman" w:eastAsia="Times New Roman" w:hAnsi="Times New Roman" w:cs="Times New Roman"/>
          <w:sz w:val="27"/>
          <w:szCs w:val="27"/>
        </w:rPr>
        <w:t>2</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E70C4A">
        <w:rPr>
          <w:rFonts w:ascii="Times New Roman" w:eastAsia="Times New Roman" w:hAnsi="Times New Roman" w:cs="Times New Roman"/>
          <w:sz w:val="27"/>
          <w:szCs w:val="27"/>
        </w:rPr>
        <w:t>From</w:t>
      </w:r>
      <w:r w:rsidR="00177E30" w:rsidRPr="00E70C4A">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April</w:t>
      </w:r>
      <w:r w:rsidR="002673EC">
        <w:rPr>
          <w:rFonts w:ascii="Times New Roman" w:eastAsia="Times New Roman" w:hAnsi="Times New Roman" w:cs="Times New Roman"/>
          <w:sz w:val="27"/>
          <w:szCs w:val="27"/>
        </w:rPr>
        <w:t xml:space="preserve"> </w:t>
      </w:r>
      <w:r w:rsidR="005A60E0" w:rsidRPr="005A60E0">
        <w:rPr>
          <w:rFonts w:ascii="Times New Roman" w:eastAsia="Times New Roman" w:hAnsi="Times New Roman" w:cs="Times New Roman"/>
          <w:sz w:val="27"/>
          <w:szCs w:val="27"/>
        </w:rPr>
        <w:t>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842AE0">
        <w:rPr>
          <w:rFonts w:ascii="Times New Roman" w:eastAsia="Times New Roman" w:hAnsi="Times New Roman" w:cs="Times New Roman"/>
          <w:sz w:val="27"/>
          <w:szCs w:val="27"/>
        </w:rPr>
        <w:t xml:space="preserve"> to</w:t>
      </w:r>
      <w:r w:rsidR="00FE29AC">
        <w:rPr>
          <w:rFonts w:ascii="Times New Roman" w:eastAsia="Times New Roman" w:hAnsi="Times New Roman" w:cs="Times New Roman"/>
          <w:sz w:val="27"/>
          <w:szCs w:val="27"/>
        </w:rPr>
        <w:t xml:space="preserve"> June</w:t>
      </w:r>
      <w:r w:rsidR="00260A7E">
        <w:rPr>
          <w:rFonts w:ascii="Times New Roman" w:eastAsia="Times New Roman" w:hAnsi="Times New Roman" w:cs="Times New Roman"/>
          <w:sz w:val="27"/>
          <w:szCs w:val="27"/>
        </w:rPr>
        <w:t xml:space="preserve"> 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gross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establishments </w:t>
      </w:r>
      <w:r w:rsidR="00033251" w:rsidRPr="00E70C4A">
        <w:rPr>
          <w:rFonts w:ascii="Times New Roman" w:eastAsia="Times New Roman" w:hAnsi="Times New Roman" w:cs="Times New Roman"/>
          <w:sz w:val="27"/>
          <w:szCs w:val="27"/>
        </w:rPr>
        <w:t xml:space="preserve">in Connecticut </w:t>
      </w:r>
      <w:r w:rsidR="008A71B4" w:rsidRPr="00E70C4A">
        <w:rPr>
          <w:rFonts w:ascii="Times New Roman" w:eastAsia="Times New Roman" w:hAnsi="Times New Roman" w:cs="Times New Roman"/>
          <w:sz w:val="27"/>
          <w:szCs w:val="27"/>
        </w:rPr>
        <w:t>was</w:t>
      </w:r>
      <w:r w:rsidR="006E2670" w:rsidRPr="00E70C4A">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90,384</w:t>
      </w:r>
      <w:r w:rsidR="00C91631">
        <w:rPr>
          <w:rFonts w:ascii="Times New Roman" w:eastAsia="Times New Roman" w:hAnsi="Times New Roman" w:cs="Times New Roman"/>
          <w:sz w:val="27"/>
          <w:szCs w:val="27"/>
        </w:rPr>
        <w:t>,</w:t>
      </w:r>
      <w:r w:rsidR="00942737" w:rsidRPr="00E70C4A">
        <w:rPr>
          <w:rFonts w:ascii="Times New Roman" w:eastAsia="Times New Roman" w:hAnsi="Times New Roman" w:cs="Times New Roman"/>
          <w:sz w:val="27"/>
          <w:szCs w:val="27"/>
        </w:rPr>
        <w:t xml:space="preserve"> a</w:t>
      </w:r>
      <w:r w:rsidR="00FE29AC">
        <w:rPr>
          <w:rFonts w:ascii="Times New Roman" w:eastAsia="Times New Roman" w:hAnsi="Times New Roman" w:cs="Times New Roman"/>
          <w:sz w:val="27"/>
          <w:szCs w:val="27"/>
        </w:rPr>
        <w:t>n</w:t>
      </w:r>
      <w:r w:rsidR="00724E27">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in</w:t>
      </w:r>
      <w:r w:rsidR="00135EB6" w:rsidRPr="00E70C4A">
        <w:rPr>
          <w:rFonts w:ascii="Times New Roman" w:eastAsia="Times New Roman" w:hAnsi="Times New Roman" w:cs="Times New Roman"/>
          <w:sz w:val="27"/>
          <w:szCs w:val="27"/>
        </w:rPr>
        <w:t xml:space="preserve">crease of </w:t>
      </w:r>
      <w:r w:rsidR="00FE29AC">
        <w:rPr>
          <w:rFonts w:ascii="Times New Roman" w:eastAsia="Times New Roman" w:hAnsi="Times New Roman" w:cs="Times New Roman"/>
          <w:sz w:val="27"/>
          <w:szCs w:val="27"/>
        </w:rPr>
        <w:t>4,842</w:t>
      </w:r>
      <w:r w:rsidR="006E2670" w:rsidRPr="00E70C4A">
        <w:rPr>
          <w:rFonts w:ascii="Times New Roman" w:eastAsia="Times New Roman" w:hAnsi="Times New Roman" w:cs="Times New Roman"/>
          <w:sz w:val="27"/>
          <w:szCs w:val="27"/>
        </w:rPr>
        <w:t xml:space="preserve"> jobs from the previous quarter</w:t>
      </w:r>
      <w:r w:rsidR="00D8500D">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Over this period, </w:t>
      </w:r>
      <w:r w:rsidR="006E2670" w:rsidRPr="00E70C4A">
        <w:rPr>
          <w:rFonts w:ascii="Times New Roman" w:eastAsia="Times New Roman" w:hAnsi="Times New Roman" w:cs="Times New Roman"/>
          <w:b/>
          <w:sz w:val="27"/>
          <w:szCs w:val="27"/>
        </w:rPr>
        <w:t>gross job losses</w:t>
      </w:r>
      <w:r w:rsidR="006E2670" w:rsidRPr="00E70C4A">
        <w:rPr>
          <w:rFonts w:ascii="Times New Roman" w:eastAsia="Times New Roman" w:hAnsi="Times New Roman" w:cs="Times New Roman"/>
          <w:sz w:val="27"/>
          <w:szCs w:val="27"/>
        </w:rPr>
        <w:t xml:space="preserve"> from closing and contracting private sector establishments </w:t>
      </w:r>
      <w:proofErr w:type="gramStart"/>
      <w:r w:rsidR="00120C3C" w:rsidRPr="00E70C4A">
        <w:rPr>
          <w:rFonts w:ascii="Times New Roman" w:eastAsia="Times New Roman" w:hAnsi="Times New Roman" w:cs="Times New Roman"/>
          <w:sz w:val="27"/>
          <w:szCs w:val="27"/>
        </w:rPr>
        <w:t>was</w:t>
      </w:r>
      <w:r w:rsidR="00917176">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80,149</w:t>
      </w:r>
      <w:proofErr w:type="gramEnd"/>
      <w:r w:rsidR="00714CDA">
        <w:rPr>
          <w:rFonts w:ascii="Times New Roman" w:eastAsia="Times New Roman" w:hAnsi="Times New Roman" w:cs="Times New Roman"/>
          <w:sz w:val="27"/>
          <w:szCs w:val="27"/>
        </w:rPr>
        <w:t xml:space="preserve">, </w:t>
      </w:r>
      <w:r w:rsidR="00280927">
        <w:rPr>
          <w:rFonts w:ascii="Times New Roman" w:eastAsia="Times New Roman" w:hAnsi="Times New Roman" w:cs="Times New Roman"/>
          <w:sz w:val="27"/>
          <w:szCs w:val="27"/>
        </w:rPr>
        <w:t>a</w:t>
      </w:r>
      <w:r w:rsidR="00FE29AC">
        <w:rPr>
          <w:rFonts w:ascii="Times New Roman" w:eastAsia="Times New Roman" w:hAnsi="Times New Roman" w:cs="Times New Roman"/>
          <w:sz w:val="27"/>
          <w:szCs w:val="27"/>
        </w:rPr>
        <w:t>n in</w:t>
      </w:r>
      <w:r w:rsidR="00E950E5" w:rsidRPr="00E70C4A">
        <w:rPr>
          <w:rFonts w:ascii="Times New Roman" w:eastAsia="Times New Roman" w:hAnsi="Times New Roman" w:cs="Times New Roman"/>
          <w:sz w:val="27"/>
          <w:szCs w:val="27"/>
        </w:rPr>
        <w:t>c</w:t>
      </w:r>
      <w:r w:rsidR="002D0151" w:rsidRPr="00E70C4A">
        <w:rPr>
          <w:rFonts w:ascii="Times New Roman" w:eastAsia="Times New Roman" w:hAnsi="Times New Roman" w:cs="Times New Roman"/>
          <w:sz w:val="27"/>
          <w:szCs w:val="27"/>
        </w:rPr>
        <w:t xml:space="preserve">rease </w:t>
      </w:r>
      <w:r w:rsidR="007A3266">
        <w:rPr>
          <w:rFonts w:ascii="Times New Roman" w:eastAsia="Times New Roman" w:hAnsi="Times New Roman" w:cs="Times New Roman"/>
          <w:sz w:val="27"/>
          <w:szCs w:val="27"/>
        </w:rPr>
        <w:t>of</w:t>
      </w:r>
      <w:r w:rsidR="00382E0C">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8,503</w:t>
      </w:r>
      <w:r w:rsidR="00520D02">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jobs from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t xml:space="preserve">During the </w:t>
      </w:r>
      <w:r w:rsidR="00381566">
        <w:rPr>
          <w:rFonts w:ascii="Times New Roman" w:eastAsia="Times New Roman" w:hAnsi="Times New Roman" w:cs="Times New Roman"/>
          <w:sz w:val="27"/>
          <w:szCs w:val="27"/>
        </w:rPr>
        <w:t>second quarter</w:t>
      </w:r>
      <w:r w:rsidR="00520D02">
        <w:rPr>
          <w:rFonts w:ascii="Times New Roman" w:eastAsia="Times New Roman" w:hAnsi="Times New Roman" w:cs="Times New Roman"/>
          <w:sz w:val="27"/>
          <w:szCs w:val="27"/>
        </w:rPr>
        <w:t xml:space="preserve"> of 20</w:t>
      </w:r>
      <w:r w:rsidR="00142F84">
        <w:rPr>
          <w:rFonts w:ascii="Times New Roman" w:eastAsia="Times New Roman" w:hAnsi="Times New Roman" w:cs="Times New Roman"/>
          <w:sz w:val="27"/>
          <w:szCs w:val="27"/>
        </w:rPr>
        <w:t>2</w:t>
      </w:r>
      <w:r w:rsidR="00A97C6E">
        <w:rPr>
          <w:rFonts w:ascii="Times New Roman" w:eastAsia="Times New Roman" w:hAnsi="Times New Roman" w:cs="Times New Roman"/>
          <w:sz w:val="27"/>
          <w:szCs w:val="27"/>
        </w:rPr>
        <w:t>1</w:t>
      </w:r>
      <w:r w:rsidR="00D729B1">
        <w:rPr>
          <w:rFonts w:ascii="Times New Roman" w:eastAsia="Times New Roman" w:hAnsi="Times New Roman" w:cs="Times New Roman"/>
          <w:sz w:val="27"/>
          <w:szCs w:val="27"/>
        </w:rPr>
        <w:t>,</w:t>
      </w:r>
      <w:r w:rsidR="00A97C6E">
        <w:rPr>
          <w:rFonts w:ascii="Times New Roman" w:eastAsia="Times New Roman" w:hAnsi="Times New Roman" w:cs="Times New Roman"/>
          <w:sz w:val="27"/>
          <w:szCs w:val="27"/>
        </w:rPr>
        <w:t xml:space="preserve"> the</w:t>
      </w:r>
      <w:r w:rsidR="006E2670" w:rsidRPr="00E70C4A">
        <w:rPr>
          <w:rFonts w:ascii="Times New Roman" w:eastAsia="Times New Roman" w:hAnsi="Times New Roman" w:cs="Times New Roman"/>
          <w:sz w:val="27"/>
          <w:szCs w:val="27"/>
        </w:rPr>
        <w:t xml:space="preserve"> </w:t>
      </w:r>
      <w:r w:rsidR="00516C85" w:rsidRPr="00E70C4A">
        <w:rPr>
          <w:rFonts w:ascii="Times New Roman" w:eastAsia="Times New Roman" w:hAnsi="Times New Roman" w:cs="Times New Roman"/>
          <w:sz w:val="27"/>
          <w:szCs w:val="27"/>
        </w:rPr>
        <w:t>difference between gross job gains and</w:t>
      </w:r>
      <w:r w:rsidR="006E2670" w:rsidRPr="00E70C4A">
        <w:rPr>
          <w:rFonts w:ascii="Times New Roman" w:eastAsia="Times New Roman" w:hAnsi="Times New Roman" w:cs="Times New Roman"/>
          <w:sz w:val="27"/>
          <w:szCs w:val="27"/>
        </w:rPr>
        <w:t xml:space="preserve"> gross job losses </w:t>
      </w:r>
      <w:r w:rsidR="00A6186F">
        <w:rPr>
          <w:rFonts w:ascii="Times New Roman" w:eastAsia="Times New Roman" w:hAnsi="Times New Roman" w:cs="Times New Roman"/>
          <w:sz w:val="27"/>
          <w:szCs w:val="27"/>
        </w:rPr>
        <w:t>yield</w:t>
      </w:r>
      <w:r w:rsidR="00D729B1">
        <w:rPr>
          <w:rFonts w:ascii="Times New Roman" w:eastAsia="Times New Roman" w:hAnsi="Times New Roman" w:cs="Times New Roman"/>
          <w:sz w:val="27"/>
          <w:szCs w:val="27"/>
        </w:rPr>
        <w:t>ed</w:t>
      </w:r>
      <w:r w:rsidR="00D94108" w:rsidRPr="00E70C4A">
        <w:rPr>
          <w:rFonts w:ascii="Times New Roman" w:eastAsia="Times New Roman" w:hAnsi="Times New Roman" w:cs="Times New Roman"/>
          <w:sz w:val="27"/>
          <w:szCs w:val="27"/>
        </w:rPr>
        <w:t xml:space="preserve"> a </w:t>
      </w:r>
      <w:r w:rsidR="00D94108" w:rsidRPr="00E70C4A">
        <w:rPr>
          <w:rFonts w:ascii="Times New Roman" w:eastAsia="Times New Roman" w:hAnsi="Times New Roman" w:cs="Times New Roman"/>
          <w:b/>
          <w:sz w:val="27"/>
          <w:szCs w:val="27"/>
        </w:rPr>
        <w:t>net</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employment</w:t>
      </w:r>
      <w:r w:rsidR="00E23735">
        <w:rPr>
          <w:rFonts w:ascii="Times New Roman" w:eastAsia="Times New Roman" w:hAnsi="Times New Roman" w:cs="Times New Roman"/>
          <w:b/>
          <w:sz w:val="27"/>
          <w:szCs w:val="27"/>
        </w:rPr>
        <w:t xml:space="preserve"> </w:t>
      </w:r>
      <w:r w:rsidR="00382E0C">
        <w:rPr>
          <w:rFonts w:ascii="Times New Roman" w:eastAsia="Times New Roman" w:hAnsi="Times New Roman" w:cs="Times New Roman"/>
          <w:b/>
          <w:sz w:val="27"/>
          <w:szCs w:val="27"/>
        </w:rPr>
        <w:t>gain</w:t>
      </w:r>
      <w:r w:rsidR="002D0151" w:rsidRPr="00E70C4A">
        <w:rPr>
          <w:rFonts w:ascii="Times New Roman" w:eastAsia="Times New Roman" w:hAnsi="Times New Roman" w:cs="Times New Roman"/>
          <w:sz w:val="27"/>
          <w:szCs w:val="27"/>
        </w:rPr>
        <w:t xml:space="preserve"> o</w:t>
      </w:r>
      <w:r w:rsidR="00724E27">
        <w:rPr>
          <w:rFonts w:ascii="Times New Roman" w:eastAsia="Times New Roman" w:hAnsi="Times New Roman" w:cs="Times New Roman"/>
          <w:sz w:val="27"/>
          <w:szCs w:val="27"/>
        </w:rPr>
        <w:t xml:space="preserve">f </w:t>
      </w:r>
      <w:r w:rsidR="00FE29AC">
        <w:rPr>
          <w:rFonts w:ascii="Times New Roman" w:eastAsia="Times New Roman" w:hAnsi="Times New Roman" w:cs="Times New Roman"/>
          <w:sz w:val="27"/>
          <w:szCs w:val="27"/>
        </w:rPr>
        <w:t>10,235</w:t>
      </w:r>
      <w:r w:rsidR="006E2670" w:rsidRPr="00E70C4A">
        <w:rPr>
          <w:rFonts w:ascii="Times New Roman" w:eastAsia="Times New Roman" w:hAnsi="Times New Roman" w:cs="Times New Roman"/>
          <w:sz w:val="27"/>
          <w:szCs w:val="27"/>
        </w:rPr>
        <w:t xml:space="preserve"> jobs i</w:t>
      </w:r>
      <w:r w:rsidR="00D729B1">
        <w:rPr>
          <w:rFonts w:ascii="Times New Roman" w:eastAsia="Times New Roman" w:hAnsi="Times New Roman" w:cs="Times New Roman"/>
          <w:sz w:val="27"/>
          <w:szCs w:val="27"/>
        </w:rPr>
        <w:t>n the private sector</w:t>
      </w:r>
      <w:r w:rsidR="005A3C8B" w:rsidRPr="00E70C4A">
        <w:rPr>
          <w:rFonts w:ascii="Times New Roman" w:eastAsia="Times New Roman" w:hAnsi="Times New Roman" w:cs="Times New Roman"/>
          <w:sz w:val="27"/>
          <w:szCs w:val="27"/>
        </w:rPr>
        <w:t>.</w:t>
      </w:r>
      <w:r w:rsidR="00A96094" w:rsidRPr="00E70C4A">
        <w:rPr>
          <w:rFonts w:ascii="Times New Roman" w:eastAsia="Times New Roman" w:hAnsi="Times New Roman" w:cs="Times New Roman"/>
          <w:sz w:val="27"/>
          <w:szCs w:val="27"/>
        </w:rPr>
        <w:t xml:space="preserve">  </w:t>
      </w:r>
      <w:r w:rsidR="00B13F20">
        <w:rPr>
          <w:rFonts w:ascii="Times New Roman" w:eastAsia="Times New Roman" w:hAnsi="Times New Roman" w:cs="Times New Roman"/>
          <w:sz w:val="27"/>
          <w:szCs w:val="27"/>
        </w:rPr>
        <w:t>This</w:t>
      </w:r>
      <w:r w:rsidR="00382E0C">
        <w:rPr>
          <w:rFonts w:ascii="Times New Roman" w:eastAsia="Times New Roman" w:hAnsi="Times New Roman" w:cs="Times New Roman"/>
          <w:sz w:val="27"/>
          <w:szCs w:val="27"/>
        </w:rPr>
        <w:t xml:space="preserve"> net increase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follows a </w:t>
      </w:r>
      <w:r w:rsidR="00FE29AC">
        <w:rPr>
          <w:rFonts w:ascii="Times New Roman" w:eastAsia="Times New Roman" w:hAnsi="Times New Roman" w:cs="Times New Roman"/>
          <w:sz w:val="27"/>
          <w:szCs w:val="27"/>
        </w:rPr>
        <w:t>13,896</w:t>
      </w:r>
      <w:r w:rsidR="00382E0C">
        <w:rPr>
          <w:rFonts w:ascii="Times New Roman" w:eastAsia="Times New Roman" w:hAnsi="Times New Roman" w:cs="Times New Roman"/>
          <w:sz w:val="27"/>
          <w:szCs w:val="27"/>
        </w:rPr>
        <w:t xml:space="preserve"> net </w:t>
      </w:r>
      <w:r w:rsidR="00724E27">
        <w:rPr>
          <w:rFonts w:ascii="Times New Roman" w:eastAsia="Times New Roman" w:hAnsi="Times New Roman" w:cs="Times New Roman"/>
          <w:sz w:val="27"/>
          <w:szCs w:val="27"/>
        </w:rPr>
        <w:t>in</w:t>
      </w:r>
      <w:r w:rsidR="00382E0C">
        <w:rPr>
          <w:rFonts w:ascii="Times New Roman" w:eastAsia="Times New Roman" w:hAnsi="Times New Roman" w:cs="Times New Roman"/>
          <w:sz w:val="27"/>
          <w:szCs w:val="27"/>
        </w:rPr>
        <w:t>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during the </w:t>
      </w:r>
      <w:r w:rsidR="00FE29AC">
        <w:rPr>
          <w:rFonts w:ascii="Times New Roman" w:eastAsia="Times New Roman" w:hAnsi="Times New Roman" w:cs="Times New Roman"/>
          <w:sz w:val="27"/>
          <w:szCs w:val="27"/>
        </w:rPr>
        <w:t>first</w:t>
      </w:r>
      <w:r w:rsidR="00382E0C">
        <w:rPr>
          <w:rFonts w:ascii="Times New Roman" w:eastAsia="Times New Roman" w:hAnsi="Times New Roman" w:cs="Times New Roman"/>
          <w:sz w:val="27"/>
          <w:szCs w:val="27"/>
        </w:rPr>
        <w:t xml:space="preserve"> quarter of 202</w:t>
      </w:r>
      <w:r w:rsidR="00FE29AC">
        <w:rPr>
          <w:rFonts w:ascii="Times New Roman" w:eastAsia="Times New Roman" w:hAnsi="Times New Roman" w:cs="Times New Roman"/>
          <w:sz w:val="27"/>
          <w:szCs w:val="27"/>
        </w:rPr>
        <w:t>1</w:t>
      </w:r>
      <w:r w:rsidR="00A97C6E">
        <w:rPr>
          <w:rFonts w:ascii="Times New Roman" w:eastAsia="Times New Roman" w:hAnsi="Times New Roman" w:cs="Times New Roman"/>
          <w:sz w:val="27"/>
          <w:szCs w:val="27"/>
        </w:rPr>
        <w:t xml:space="preserve">.  </w:t>
      </w:r>
    </w:p>
    <w:p w14:paraId="62F44E3A" w14:textId="55FF9B4E" w:rsidR="00A97C6E" w:rsidRDefault="00D729B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t xml:space="preserve">Net employment change reached a low of -205,121 during the second quarter of 2020.  The combined net change for the </w:t>
      </w:r>
      <w:r w:rsidR="00FE29AC">
        <w:rPr>
          <w:rFonts w:ascii="Times New Roman" w:eastAsia="Times New Roman" w:hAnsi="Times New Roman" w:cs="Times New Roman"/>
          <w:sz w:val="27"/>
          <w:szCs w:val="27"/>
        </w:rPr>
        <w:t>four</w:t>
      </w:r>
      <w:r w:rsidR="00A97C6E">
        <w:rPr>
          <w:rFonts w:ascii="Times New Roman" w:eastAsia="Times New Roman" w:hAnsi="Times New Roman" w:cs="Times New Roman"/>
          <w:sz w:val="27"/>
          <w:szCs w:val="27"/>
        </w:rPr>
        <w:t xml:space="preserve"> quarters of subsequent data through the </w:t>
      </w:r>
      <w:r w:rsidR="00381566">
        <w:rPr>
          <w:rFonts w:ascii="Times New Roman" w:eastAsia="Times New Roman" w:hAnsi="Times New Roman" w:cs="Times New Roman"/>
          <w:sz w:val="27"/>
          <w:szCs w:val="27"/>
        </w:rPr>
        <w:t>second quarter</w:t>
      </w:r>
      <w:r w:rsidR="00A97C6E">
        <w:rPr>
          <w:rFonts w:ascii="Times New Roman" w:eastAsia="Times New Roman" w:hAnsi="Times New Roman" w:cs="Times New Roman"/>
          <w:sz w:val="27"/>
          <w:szCs w:val="27"/>
        </w:rPr>
        <w:t xml:space="preserve"> of 2021 is 1</w:t>
      </w:r>
      <w:r w:rsidR="00FE29AC">
        <w:rPr>
          <w:rFonts w:ascii="Times New Roman" w:eastAsia="Times New Roman" w:hAnsi="Times New Roman" w:cs="Times New Roman"/>
          <w:sz w:val="27"/>
          <w:szCs w:val="27"/>
        </w:rPr>
        <w:t>15,701</w:t>
      </w:r>
      <w:r w:rsidR="00A97C6E">
        <w:rPr>
          <w:rFonts w:ascii="Times New Roman" w:eastAsia="Times New Roman" w:hAnsi="Times New Roman" w:cs="Times New Roman"/>
          <w:sz w:val="27"/>
          <w:szCs w:val="27"/>
        </w:rPr>
        <w:t xml:space="preserve"> jobs.</w:t>
      </w:r>
      <w:r w:rsidR="00A97C6E">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br/>
      </w:r>
    </w:p>
    <w:p w14:paraId="4602FA50" w14:textId="1C3DD2DE" w:rsidR="00403826" w:rsidRPr="006B7D0D" w:rsidRDefault="003217F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29AC">
        <w:rPr>
          <w:noProof/>
        </w:rPr>
        <w:drawing>
          <wp:inline distT="0" distB="0" distL="0" distR="0" wp14:anchorId="27A1ADF7" wp14:editId="2EAADB90">
            <wp:extent cx="5253355" cy="2734573"/>
            <wp:effectExtent l="0" t="0" r="4445" b="889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83E56">
        <w:rPr>
          <w:rFonts w:ascii="Times New Roman" w:eastAsia="Times New Roman" w:hAnsi="Times New Roman" w:cs="Times New Roman"/>
          <w:sz w:val="28"/>
          <w:szCs w:val="28"/>
        </w:rPr>
        <w:br/>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564B54F2"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7A7078">
        <w:rPr>
          <w:rFonts w:ascii="Times New Roman" w:eastAsia="Times New Roman" w:hAnsi="Times New Roman" w:cs="Times New Roman"/>
          <w:b/>
          <w:sz w:val="28"/>
          <w:szCs w:val="28"/>
        </w:rPr>
        <w:t>expanding</w:t>
      </w:r>
      <w:r w:rsidR="003B059E">
        <w:rPr>
          <w:rFonts w:ascii="Times New Roman" w:eastAsia="Times New Roman" w:hAnsi="Times New Roman" w:cs="Times New Roman"/>
          <w:sz w:val="28"/>
          <w:szCs w:val="28"/>
        </w:rPr>
        <w:t xml:space="preserve"> establishments totaled </w:t>
      </w:r>
      <w:r w:rsidR="00FE29AC">
        <w:rPr>
          <w:rFonts w:ascii="Times New Roman" w:eastAsia="Times New Roman" w:hAnsi="Times New Roman" w:cs="Times New Roman"/>
          <w:sz w:val="28"/>
          <w:szCs w:val="28"/>
        </w:rPr>
        <w:t>70,825</w:t>
      </w:r>
      <w:r w:rsidR="0027263E">
        <w:rPr>
          <w:rFonts w:ascii="Times New Roman" w:eastAsia="Times New Roman" w:hAnsi="Times New Roman" w:cs="Times New Roman"/>
          <w:sz w:val="28"/>
          <w:szCs w:val="28"/>
        </w:rPr>
        <w:t xml:space="preserve"> in the</w:t>
      </w:r>
      <w:r w:rsidR="00142F84">
        <w:rPr>
          <w:rFonts w:ascii="Times New Roman" w:eastAsia="Times New Roman" w:hAnsi="Times New Roman" w:cs="Times New Roman"/>
          <w:sz w:val="28"/>
          <w:szCs w:val="28"/>
        </w:rPr>
        <w:t xml:space="preserve"> </w:t>
      </w:r>
      <w:r w:rsidR="00381566">
        <w:rPr>
          <w:rFonts w:ascii="Times New Roman" w:eastAsia="Times New Roman" w:hAnsi="Times New Roman" w:cs="Times New Roman"/>
          <w:sz w:val="28"/>
          <w:szCs w:val="28"/>
        </w:rPr>
        <w:t>second quarter</w:t>
      </w:r>
      <w:r w:rsidR="00D2556A">
        <w:rPr>
          <w:rFonts w:ascii="Times New Roman" w:eastAsia="Times New Roman" w:hAnsi="Times New Roman" w:cs="Times New Roman"/>
          <w:sz w:val="28"/>
          <w:szCs w:val="28"/>
        </w:rPr>
        <w:t xml:space="preserve"> of </w:t>
      </w:r>
      <w:r w:rsidR="0027263E">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2C5777">
        <w:rPr>
          <w:rFonts w:ascii="Times New Roman" w:eastAsia="Times New Roman" w:hAnsi="Times New Roman" w:cs="Times New Roman"/>
          <w:sz w:val="28"/>
          <w:szCs w:val="28"/>
        </w:rPr>
        <w:t xml:space="preserve">, </w:t>
      </w:r>
      <w:r w:rsidR="00E23735">
        <w:rPr>
          <w:rFonts w:ascii="Times New Roman" w:eastAsia="Times New Roman" w:hAnsi="Times New Roman" w:cs="Times New Roman"/>
          <w:sz w:val="28"/>
          <w:szCs w:val="28"/>
        </w:rPr>
        <w:t>a</w:t>
      </w:r>
      <w:r w:rsidR="00FE29AC">
        <w:rPr>
          <w:rFonts w:ascii="Times New Roman" w:eastAsia="Times New Roman" w:hAnsi="Times New Roman" w:cs="Times New Roman"/>
          <w:sz w:val="28"/>
          <w:szCs w:val="28"/>
        </w:rPr>
        <w:t>n</w:t>
      </w:r>
      <w:r w:rsidR="00724E27">
        <w:rPr>
          <w:rFonts w:ascii="Times New Roman" w:eastAsia="Times New Roman" w:hAnsi="Times New Roman" w:cs="Times New Roman"/>
          <w:sz w:val="28"/>
          <w:szCs w:val="28"/>
        </w:rPr>
        <w:t xml:space="preserve"> </w:t>
      </w:r>
      <w:r w:rsidR="00FE29AC">
        <w:rPr>
          <w:rFonts w:ascii="Times New Roman" w:eastAsia="Times New Roman" w:hAnsi="Times New Roman" w:cs="Times New Roman"/>
          <w:sz w:val="28"/>
          <w:szCs w:val="28"/>
        </w:rPr>
        <w:t>in</w:t>
      </w:r>
      <w:r>
        <w:rPr>
          <w:rFonts w:ascii="Times New Roman" w:eastAsia="Times New Roman" w:hAnsi="Times New Roman" w:cs="Times New Roman"/>
          <w:sz w:val="28"/>
          <w:szCs w:val="28"/>
        </w:rPr>
        <w:t>crease of</w:t>
      </w:r>
      <w:r w:rsidR="002C5777">
        <w:rPr>
          <w:rFonts w:ascii="Times New Roman" w:eastAsia="Times New Roman" w:hAnsi="Times New Roman" w:cs="Times New Roman"/>
          <w:sz w:val="28"/>
          <w:szCs w:val="28"/>
        </w:rPr>
        <w:t xml:space="preserve"> </w:t>
      </w:r>
      <w:r w:rsidR="00FE29AC">
        <w:rPr>
          <w:rFonts w:ascii="Times New Roman" w:eastAsia="Times New Roman" w:hAnsi="Times New Roman" w:cs="Times New Roman"/>
          <w:sz w:val="28"/>
          <w:szCs w:val="28"/>
        </w:rPr>
        <w:t>2,013</w:t>
      </w:r>
      <w:r w:rsidR="00714CDA">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from the previous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3866C448"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establishments accounted for</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19,559</w:t>
      </w:r>
      <w:r w:rsidR="00FC14A0">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gained in the </w:t>
      </w:r>
      <w:r w:rsidR="00381566">
        <w:rPr>
          <w:rFonts w:ascii="Times New Roman" w:eastAsia="Times New Roman" w:hAnsi="Times New Roman" w:cs="Times New Roman"/>
          <w:sz w:val="28"/>
          <w:szCs w:val="28"/>
        </w:rPr>
        <w:t>second quarter</w:t>
      </w:r>
      <w:r w:rsidR="00D2556A">
        <w:rPr>
          <w:rFonts w:ascii="Times New Roman" w:eastAsia="Times New Roman" w:hAnsi="Times New Roman" w:cs="Times New Roman"/>
          <w:sz w:val="28"/>
          <w:szCs w:val="28"/>
        </w:rPr>
        <w:t xml:space="preserve"> of </w:t>
      </w:r>
      <w:r w:rsidRPr="007A7078">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Pr="007A7078">
        <w:rPr>
          <w:rFonts w:ascii="Times New Roman" w:eastAsia="Times New Roman" w:hAnsi="Times New Roman" w:cs="Times New Roman"/>
          <w:sz w:val="28"/>
          <w:szCs w:val="28"/>
        </w:rPr>
        <w:t>, a</w:t>
      </w:r>
      <w:r w:rsidR="00BB232A">
        <w:rPr>
          <w:rFonts w:ascii="Times New Roman" w:eastAsia="Times New Roman" w:hAnsi="Times New Roman" w:cs="Times New Roman"/>
          <w:sz w:val="28"/>
          <w:szCs w:val="28"/>
        </w:rPr>
        <w:t>n in</w:t>
      </w:r>
      <w:r w:rsidR="00CC47A4">
        <w:rPr>
          <w:rFonts w:ascii="Times New Roman" w:eastAsia="Times New Roman" w:hAnsi="Times New Roman" w:cs="Times New Roman"/>
          <w:sz w:val="28"/>
          <w:szCs w:val="28"/>
        </w:rPr>
        <w:t>crease</w:t>
      </w:r>
      <w:r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 xml:space="preserve">of </w:t>
      </w:r>
      <w:r w:rsidR="00BB232A">
        <w:rPr>
          <w:rFonts w:ascii="Times New Roman" w:eastAsia="Times New Roman" w:hAnsi="Times New Roman" w:cs="Times New Roman"/>
          <w:sz w:val="28"/>
          <w:szCs w:val="28"/>
        </w:rPr>
        <w:t>2,829</w:t>
      </w:r>
      <w:r w:rsidR="00CC47A4">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from the previous quarter.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741A569E" w:rsidR="00434063" w:rsidRDefault="00FE29AC"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3A6EFD56" wp14:editId="210CE8EC">
            <wp:extent cx="5546725" cy="3347049"/>
            <wp:effectExtent l="0" t="0" r="15875" b="6350"/>
            <wp:docPr id="17" name="Chart 1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41DE39B1"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establishments lost</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67,695</w:t>
      </w:r>
      <w:r w:rsidR="0021153A" w:rsidRPr="007A7078">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jobs in the</w:t>
      </w:r>
      <w:r w:rsidR="00724E27">
        <w:rPr>
          <w:rFonts w:ascii="Times New Roman" w:eastAsia="Times New Roman" w:hAnsi="Times New Roman" w:cs="Times New Roman"/>
          <w:sz w:val="28"/>
          <w:szCs w:val="28"/>
        </w:rPr>
        <w:t xml:space="preserve"> </w:t>
      </w:r>
      <w:r w:rsidR="00381566">
        <w:rPr>
          <w:rFonts w:ascii="Times New Roman" w:eastAsia="Times New Roman" w:hAnsi="Times New Roman" w:cs="Times New Roman"/>
          <w:sz w:val="28"/>
          <w:szCs w:val="28"/>
        </w:rPr>
        <w:t>second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an increase of 7,740</w:t>
      </w:r>
      <w:r w:rsidR="00B6048B">
        <w:rPr>
          <w:rFonts w:ascii="Times New Roman" w:eastAsia="Times New Roman" w:hAnsi="Times New Roman" w:cs="Times New Roman"/>
          <w:sz w:val="28"/>
          <w:szCs w:val="28"/>
        </w:rPr>
        <w:t xml:space="preserve"> from the prior quarte</w:t>
      </w:r>
      <w:r w:rsidR="00C42F53">
        <w:rPr>
          <w:rFonts w:ascii="Times New Roman" w:eastAsia="Times New Roman" w:hAnsi="Times New Roman" w:cs="Times New Roman"/>
          <w:sz w:val="28"/>
          <w:szCs w:val="28"/>
        </w:rPr>
        <w:t>r</w:t>
      </w:r>
      <w:r w:rsidR="00724E27">
        <w:rPr>
          <w:rFonts w:ascii="Times New Roman" w:eastAsia="Times New Roman" w:hAnsi="Times New Roman" w:cs="Times New Roman"/>
          <w:sz w:val="28"/>
          <w:szCs w:val="28"/>
        </w:rPr>
        <w:t>.</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7E114972" w14:textId="173C5ACA" w:rsidR="0015361E" w:rsidRDefault="004B2C9F" w:rsidP="009A0DC4">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lastRenderedPageBreak/>
        <w:t xml:space="preserve">In the </w:t>
      </w:r>
      <w:r w:rsidR="00381566">
        <w:rPr>
          <w:rFonts w:ascii="Times New Roman" w:eastAsia="Times New Roman" w:hAnsi="Times New Roman" w:cs="Times New Roman"/>
          <w:sz w:val="28"/>
          <w:szCs w:val="28"/>
        </w:rPr>
        <w:t>second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w:t>
      </w:r>
      <w:r w:rsidR="00142F84">
        <w:rPr>
          <w:rFonts w:ascii="Times New Roman" w:eastAsia="Times New Roman" w:hAnsi="Times New Roman" w:cs="Times New Roman"/>
          <w:sz w:val="28"/>
          <w:szCs w:val="28"/>
        </w:rPr>
        <w:t>02</w:t>
      </w:r>
      <w:r w:rsidR="00C42F53">
        <w:rPr>
          <w:rFonts w:ascii="Times New Roman" w:eastAsia="Times New Roman" w:hAnsi="Times New Roman" w:cs="Times New Roman"/>
          <w:sz w:val="28"/>
          <w:szCs w:val="28"/>
        </w:rPr>
        <w:t>1</w:t>
      </w:r>
      <w:r w:rsidR="009A0DC4"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closing</w:t>
      </w:r>
      <w:r w:rsidR="009A0DC4" w:rsidRPr="007A7078">
        <w:rPr>
          <w:rFonts w:ascii="Times New Roman" w:eastAsia="Times New Roman" w:hAnsi="Times New Roman" w:cs="Times New Roman"/>
          <w:sz w:val="28"/>
          <w:szCs w:val="28"/>
        </w:rPr>
        <w:t xml:space="preserve"> establishments </w:t>
      </w:r>
      <w:r w:rsidR="00A82C62" w:rsidRPr="007A7078">
        <w:rPr>
          <w:rFonts w:ascii="Times New Roman" w:eastAsia="Times New Roman" w:hAnsi="Times New Roman" w:cs="Times New Roman"/>
          <w:sz w:val="28"/>
          <w:szCs w:val="28"/>
        </w:rPr>
        <w:t>lost</w:t>
      </w:r>
      <w:r w:rsidR="0040001C">
        <w:rPr>
          <w:rFonts w:ascii="Times New Roman" w:eastAsia="Times New Roman" w:hAnsi="Times New Roman" w:cs="Times New Roman"/>
          <w:sz w:val="28"/>
          <w:szCs w:val="28"/>
        </w:rPr>
        <w:t xml:space="preserve"> </w:t>
      </w:r>
      <w:r w:rsidR="00C42F53">
        <w:rPr>
          <w:rFonts w:ascii="Times New Roman" w:eastAsia="Times New Roman" w:hAnsi="Times New Roman" w:cs="Times New Roman"/>
          <w:sz w:val="28"/>
          <w:szCs w:val="28"/>
        </w:rPr>
        <w:t>1</w:t>
      </w:r>
      <w:r w:rsidR="00BB232A">
        <w:rPr>
          <w:rFonts w:ascii="Times New Roman" w:eastAsia="Times New Roman" w:hAnsi="Times New Roman" w:cs="Times New Roman"/>
          <w:sz w:val="28"/>
          <w:szCs w:val="28"/>
        </w:rPr>
        <w:t>2,454</w:t>
      </w:r>
      <w:r w:rsidR="00B6048B">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jobs</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an in</w:t>
      </w:r>
      <w:r w:rsidR="00B6048B">
        <w:rPr>
          <w:rFonts w:ascii="Times New Roman" w:eastAsia="Times New Roman" w:hAnsi="Times New Roman" w:cs="Times New Roman"/>
          <w:sz w:val="28"/>
          <w:szCs w:val="28"/>
        </w:rPr>
        <w:t xml:space="preserve">crease of </w:t>
      </w:r>
      <w:r w:rsidR="00BB232A">
        <w:rPr>
          <w:rFonts w:ascii="Times New Roman" w:eastAsia="Times New Roman" w:hAnsi="Times New Roman" w:cs="Times New Roman"/>
          <w:sz w:val="28"/>
          <w:szCs w:val="28"/>
        </w:rPr>
        <w:t>763</w:t>
      </w:r>
      <w:r w:rsidR="009A0DC4" w:rsidRPr="007A7078">
        <w:rPr>
          <w:rFonts w:ascii="Times New Roman" w:eastAsia="Times New Roman" w:hAnsi="Times New Roman" w:cs="Times New Roman"/>
          <w:sz w:val="28"/>
          <w:szCs w:val="28"/>
        </w:rPr>
        <w:t xml:space="preserve"> from the previous quarter.</w:t>
      </w:r>
      <w:r w:rsidR="00B2199E">
        <w:rPr>
          <w:rFonts w:ascii="Times New Roman" w:eastAsia="Times New Roman" w:hAnsi="Times New Roman" w:cs="Times New Roman"/>
          <w:sz w:val="28"/>
          <w:szCs w:val="28"/>
        </w:rPr>
        <w:t xml:space="preserve">  Chart 3 shows the relationship between opening and closing-derived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 by 2020Q2 the impact of the recession is illustrated by the</w:t>
      </w:r>
      <w:r w:rsidR="003E0438">
        <w:rPr>
          <w:rFonts w:ascii="Times New Roman" w:eastAsia="Times New Roman" w:hAnsi="Times New Roman" w:cs="Times New Roman"/>
          <w:sz w:val="28"/>
          <w:szCs w:val="28"/>
        </w:rPr>
        <w:t xml:space="preserve"> large uptick in closing job losses</w:t>
      </w:r>
      <w:r w:rsidR="007D7788">
        <w:rPr>
          <w:rFonts w:ascii="Times New Roman" w:eastAsia="Times New Roman" w:hAnsi="Times New Roman" w:cs="Times New Roman"/>
          <w:sz w:val="28"/>
          <w:szCs w:val="28"/>
        </w:rPr>
        <w:t xml:space="preserve"> and the large uptick in openings the following quarter</w:t>
      </w:r>
      <w:r w:rsidR="003E0438">
        <w:rPr>
          <w:rFonts w:ascii="Times New Roman" w:eastAsia="Times New Roman" w:hAnsi="Times New Roman" w:cs="Times New Roman"/>
          <w:sz w:val="28"/>
          <w:szCs w:val="28"/>
        </w:rPr>
        <w:t>.</w:t>
      </w:r>
      <w:r w:rsidR="00724E27">
        <w:rPr>
          <w:rFonts w:ascii="Times New Roman" w:eastAsia="Times New Roman" w:hAnsi="Times New Roman" w:cs="Times New Roman"/>
          <w:sz w:val="28"/>
          <w:szCs w:val="28"/>
        </w:rPr>
        <w:t xml:space="preserve">  In the </w:t>
      </w:r>
      <w:r w:rsidR="00381566">
        <w:rPr>
          <w:rFonts w:ascii="Times New Roman" w:eastAsia="Times New Roman" w:hAnsi="Times New Roman" w:cs="Times New Roman"/>
          <w:sz w:val="28"/>
          <w:szCs w:val="28"/>
        </w:rPr>
        <w:t>second quarter</w:t>
      </w:r>
      <w:r w:rsidR="00724E27">
        <w:rPr>
          <w:rFonts w:ascii="Times New Roman" w:eastAsia="Times New Roman" w:hAnsi="Times New Roman" w:cs="Times New Roman"/>
          <w:sz w:val="28"/>
          <w:szCs w:val="28"/>
        </w:rPr>
        <w:t xml:space="preserve"> of 202</w:t>
      </w:r>
      <w:r w:rsidR="00C42F53">
        <w:rPr>
          <w:rFonts w:ascii="Times New Roman" w:eastAsia="Times New Roman" w:hAnsi="Times New Roman" w:cs="Times New Roman"/>
          <w:sz w:val="28"/>
          <w:szCs w:val="28"/>
        </w:rPr>
        <w:t>1</w:t>
      </w:r>
      <w:r w:rsidR="00724E27">
        <w:rPr>
          <w:rFonts w:ascii="Times New Roman" w:eastAsia="Times New Roman" w:hAnsi="Times New Roman" w:cs="Times New Roman"/>
          <w:sz w:val="28"/>
          <w:szCs w:val="28"/>
        </w:rPr>
        <w:t>, openings</w:t>
      </w:r>
      <w:r w:rsidR="00BB232A">
        <w:rPr>
          <w:rFonts w:ascii="Times New Roman" w:eastAsia="Times New Roman" w:hAnsi="Times New Roman" w:cs="Times New Roman"/>
          <w:sz w:val="28"/>
          <w:szCs w:val="28"/>
        </w:rPr>
        <w:t xml:space="preserve"> increased at a much higher rate than closings when compared to the prior quarter.</w:t>
      </w:r>
    </w:p>
    <w:p w14:paraId="783B8C3A" w14:textId="6AA5F510" w:rsidR="00983FDC" w:rsidRPr="007813BA" w:rsidRDefault="00983FDC" w:rsidP="007F462B">
      <w:pPr>
        <w:spacing w:after="0" w:line="240" w:lineRule="auto"/>
        <w:jc w:val="center"/>
        <w:rPr>
          <w:rFonts w:ascii="Times New Roman" w:eastAsia="Times New Roman" w:hAnsi="Times New Roman" w:cs="Times New Roman"/>
          <w:sz w:val="16"/>
          <w:szCs w:val="16"/>
        </w:rPr>
      </w:pPr>
    </w:p>
    <w:p w14:paraId="1F7F89FA" w14:textId="10561D79" w:rsidR="00ED2350" w:rsidRDefault="00FE29AC" w:rsidP="007F462B">
      <w:pPr>
        <w:spacing w:after="0" w:line="240" w:lineRule="auto"/>
        <w:jc w:val="center"/>
        <w:rPr>
          <w:rFonts w:ascii="Times New Roman" w:eastAsia="Times New Roman" w:hAnsi="Times New Roman" w:cs="Times New Roman"/>
          <w:sz w:val="30"/>
          <w:szCs w:val="30"/>
        </w:rPr>
      </w:pPr>
      <w:r>
        <w:rPr>
          <w:noProof/>
        </w:rPr>
        <w:drawing>
          <wp:inline distT="0" distB="0" distL="0" distR="0" wp14:anchorId="0FC7D4DC" wp14:editId="3436130A">
            <wp:extent cx="5339715" cy="2587925"/>
            <wp:effectExtent l="0" t="0" r="13335" b="3175"/>
            <wp:docPr id="16" name="Chart 1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DD0DDD" w14:textId="404B16A1" w:rsidR="000F0357" w:rsidRDefault="000F0357" w:rsidP="007F462B">
      <w:pPr>
        <w:spacing w:after="0" w:line="240" w:lineRule="auto"/>
        <w:jc w:val="center"/>
        <w:rPr>
          <w:rFonts w:ascii="Times New Roman" w:eastAsia="Times New Roman" w:hAnsi="Times New Roman" w:cs="Times New Roman"/>
          <w:sz w:val="30"/>
          <w:szCs w:val="30"/>
        </w:rPr>
      </w:pPr>
    </w:p>
    <w:p w14:paraId="0D69D385" w14:textId="122B77B1"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381566">
        <w:rPr>
          <w:rFonts w:ascii="Times New Roman" w:eastAsia="Times New Roman" w:hAnsi="Times New Roman" w:cs="Times New Roman"/>
          <w:sz w:val="28"/>
          <w:szCs w:val="28"/>
        </w:rPr>
        <w:t>second quarter</w:t>
      </w:r>
      <w:r w:rsidR="00D2556A">
        <w:rPr>
          <w:rFonts w:ascii="Times New Roman" w:eastAsia="Times New Roman" w:hAnsi="Times New Roman" w:cs="Times New Roman"/>
          <w:sz w:val="28"/>
          <w:szCs w:val="28"/>
        </w:rPr>
        <w:t xml:space="preserve"> of </w:t>
      </w:r>
      <w:r w:rsidR="00A47202">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C42F53">
        <w:rPr>
          <w:rFonts w:ascii="Times New Roman" w:eastAsia="Times New Roman" w:hAnsi="Times New Roman" w:cs="Times New Roman"/>
          <w:sz w:val="28"/>
          <w:szCs w:val="28"/>
        </w:rPr>
        <w:t>1</w:t>
      </w:r>
      <w:r w:rsidR="00020E4E">
        <w:rPr>
          <w:rFonts w:ascii="Times New Roman" w:eastAsia="Times New Roman" w:hAnsi="Times New Roman" w:cs="Times New Roman"/>
          <w:sz w:val="28"/>
          <w:szCs w:val="28"/>
        </w:rPr>
        <w:t>,</w:t>
      </w:r>
      <w:r w:rsidR="003647EF">
        <w:rPr>
          <w:rFonts w:ascii="Times New Roman" w:eastAsia="Times New Roman" w:hAnsi="Times New Roman" w:cs="Times New Roman"/>
          <w:sz w:val="28"/>
          <w:szCs w:val="28"/>
        </w:rPr>
        <w:t xml:space="preserve"> there </w:t>
      </w:r>
      <w:r w:rsidR="003B059E">
        <w:rPr>
          <w:rFonts w:ascii="Times New Roman" w:eastAsia="Times New Roman" w:hAnsi="Times New Roman" w:cs="Times New Roman"/>
          <w:sz w:val="28"/>
          <w:szCs w:val="28"/>
        </w:rPr>
        <w:t xml:space="preserve">were </w:t>
      </w:r>
      <w:r w:rsidR="00BB232A">
        <w:rPr>
          <w:rFonts w:ascii="Times New Roman" w:eastAsia="Times New Roman" w:hAnsi="Times New Roman" w:cs="Times New Roman"/>
          <w:sz w:val="28"/>
          <w:szCs w:val="28"/>
        </w:rPr>
        <w:t>4,163</w:t>
      </w:r>
      <w:r w:rsidR="0040200D">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establishment births</w:t>
      </w:r>
      <w:r w:rsidR="00CF3447">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(a subset of t</w:t>
      </w:r>
      <w:r w:rsidR="002F5DF8" w:rsidRPr="007A7078">
        <w:rPr>
          <w:rFonts w:ascii="Times New Roman" w:eastAsia="Times New Roman" w:hAnsi="Times New Roman" w:cs="Times New Roman"/>
          <w:sz w:val="28"/>
          <w:szCs w:val="28"/>
        </w:rPr>
        <w:t>he openings data</w:t>
      </w:r>
      <w:r w:rsidR="009A0DC4" w:rsidRPr="007A7078">
        <w:rPr>
          <w:rFonts w:ascii="Times New Roman" w:eastAsia="Times New Roman" w:hAnsi="Times New Roman" w:cs="Times New Roman"/>
          <w:sz w:val="28"/>
          <w:szCs w:val="28"/>
        </w:rPr>
        <w:t>). These new establishments accounted for</w:t>
      </w:r>
      <w:r w:rsidR="001E7CB2">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11,591</w:t>
      </w:r>
      <w:r w:rsidR="003B059E">
        <w:rPr>
          <w:rFonts w:ascii="Times New Roman" w:eastAsia="Times New Roman" w:hAnsi="Times New Roman" w:cs="Times New Roman"/>
          <w:sz w:val="28"/>
          <w:szCs w:val="28"/>
        </w:rPr>
        <w:t xml:space="preserve"> jobs,</w:t>
      </w:r>
      <w:r w:rsidR="00BB232A">
        <w:rPr>
          <w:rFonts w:ascii="Times New Roman" w:eastAsia="Times New Roman" w:hAnsi="Times New Roman" w:cs="Times New Roman"/>
          <w:sz w:val="28"/>
          <w:szCs w:val="28"/>
        </w:rPr>
        <w:t xml:space="preserve"> 3,050 more</w:t>
      </w:r>
      <w:r w:rsidR="00A47202">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64BADA8D" w14:textId="071204B5" w:rsidR="009A0DC4" w:rsidRPr="007A7078" w:rsidRDefault="009A0DC4" w:rsidP="009A0DC4">
      <w:pPr>
        <w:spacing w:after="0" w:line="240" w:lineRule="auto"/>
        <w:rPr>
          <w:rFonts w:ascii="Times New Roman" w:eastAsia="Times New Roman" w:hAnsi="Times New Roman" w:cs="Times New Roman"/>
          <w:sz w:val="28"/>
          <w:szCs w:val="28"/>
        </w:rPr>
      </w:pPr>
      <w:r w:rsidRPr="00FB3D05">
        <w:rPr>
          <w:rFonts w:ascii="Times New Roman" w:eastAsia="Times New Roman" w:hAnsi="Times New Roman" w:cs="Times New Roman"/>
          <w:sz w:val="28"/>
          <w:szCs w:val="28"/>
        </w:rPr>
        <w:t xml:space="preserve">Data for </w:t>
      </w:r>
      <w:r w:rsidRPr="00FB3D05">
        <w:rPr>
          <w:rFonts w:ascii="Times New Roman" w:eastAsia="Times New Roman" w:hAnsi="Times New Roman" w:cs="Times New Roman"/>
          <w:b/>
          <w:sz w:val="28"/>
          <w:szCs w:val="28"/>
        </w:rPr>
        <w:t>establishment deaths</w:t>
      </w:r>
      <w:r w:rsidRPr="00FB3D05">
        <w:rPr>
          <w:rFonts w:ascii="Times New Roman" w:eastAsia="Times New Roman" w:hAnsi="Times New Roman" w:cs="Times New Roman"/>
          <w:sz w:val="28"/>
          <w:szCs w:val="28"/>
        </w:rPr>
        <w:t xml:space="preserve"> (a subset of the closings data) are available through </w:t>
      </w:r>
      <w:r w:rsidR="00CF3447">
        <w:rPr>
          <w:rFonts w:ascii="Times New Roman" w:eastAsia="Times New Roman" w:hAnsi="Times New Roman" w:cs="Times New Roman"/>
          <w:sz w:val="28"/>
          <w:szCs w:val="28"/>
        </w:rPr>
        <w:t>the</w:t>
      </w:r>
      <w:r w:rsidR="004A5201">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third</w:t>
      </w:r>
      <w:r w:rsidR="00C42F53">
        <w:rPr>
          <w:rFonts w:ascii="Times New Roman" w:eastAsia="Times New Roman" w:hAnsi="Times New Roman" w:cs="Times New Roman"/>
          <w:sz w:val="28"/>
          <w:szCs w:val="28"/>
        </w:rPr>
        <w:t xml:space="preserve"> </w:t>
      </w:r>
      <w:r w:rsidR="00A47202">
        <w:rPr>
          <w:rFonts w:ascii="Times New Roman" w:eastAsia="Times New Roman" w:hAnsi="Times New Roman" w:cs="Times New Roman"/>
          <w:sz w:val="28"/>
          <w:szCs w:val="28"/>
        </w:rPr>
        <w:t>quarter of 2</w:t>
      </w:r>
      <w:r w:rsidR="001E7CB2">
        <w:rPr>
          <w:rFonts w:ascii="Times New Roman" w:eastAsia="Times New Roman" w:hAnsi="Times New Roman" w:cs="Times New Roman"/>
          <w:sz w:val="28"/>
          <w:szCs w:val="28"/>
        </w:rPr>
        <w:t>020</w:t>
      </w:r>
      <w:r w:rsidRPr="00FB3D05">
        <w:rPr>
          <w:rFonts w:ascii="Times New Roman" w:eastAsia="Times New Roman" w:hAnsi="Times New Roman" w:cs="Times New Roman"/>
          <w:sz w:val="28"/>
          <w:szCs w:val="28"/>
        </w:rPr>
        <w:t xml:space="preserve">, </w:t>
      </w:r>
      <w:r w:rsidR="001F74F6" w:rsidRPr="00FB3D05">
        <w:rPr>
          <w:rFonts w:ascii="Times New Roman" w:eastAsia="Times New Roman" w:hAnsi="Times New Roman" w:cs="Times New Roman"/>
          <w:sz w:val="28"/>
          <w:szCs w:val="28"/>
        </w:rPr>
        <w:t>where</w:t>
      </w:r>
      <w:r w:rsidR="007D7788">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8,343</w:t>
      </w:r>
      <w:r w:rsidRPr="00FB3D05">
        <w:rPr>
          <w:rFonts w:ascii="Times New Roman" w:eastAsia="Times New Roman" w:hAnsi="Times New Roman" w:cs="Times New Roman"/>
          <w:sz w:val="28"/>
          <w:szCs w:val="28"/>
        </w:rPr>
        <w:t xml:space="preserve"> jobs were lost at </w:t>
      </w:r>
      <w:r w:rsidR="00BB232A">
        <w:rPr>
          <w:rFonts w:ascii="Times New Roman" w:eastAsia="Times New Roman" w:hAnsi="Times New Roman" w:cs="Times New Roman"/>
          <w:sz w:val="28"/>
          <w:szCs w:val="28"/>
        </w:rPr>
        <w:t>2,744</w:t>
      </w:r>
      <w:r w:rsidR="0040200D">
        <w:rPr>
          <w:rFonts w:ascii="Times New Roman" w:eastAsia="Times New Roman" w:hAnsi="Times New Roman" w:cs="Times New Roman"/>
          <w:sz w:val="28"/>
          <w:szCs w:val="28"/>
        </w:rPr>
        <w:t xml:space="preserve"> </w:t>
      </w:r>
      <w:r w:rsidR="004475D3">
        <w:rPr>
          <w:rFonts w:ascii="Times New Roman" w:eastAsia="Times New Roman" w:hAnsi="Times New Roman" w:cs="Times New Roman"/>
          <w:sz w:val="28"/>
          <w:szCs w:val="28"/>
        </w:rPr>
        <w:t>establishment deaths</w:t>
      </w:r>
      <w:r w:rsidRPr="00FB3D05">
        <w:rPr>
          <w:rFonts w:ascii="Times New Roman" w:eastAsia="Times New Roman" w:hAnsi="Times New Roman" w:cs="Times New Roman"/>
          <w:sz w:val="28"/>
          <w:szCs w:val="28"/>
        </w:rPr>
        <w:t xml:space="preserve">. In the prior </w:t>
      </w:r>
      <w:r w:rsidR="00A0654D" w:rsidRPr="00FB3D05">
        <w:rPr>
          <w:rFonts w:ascii="Times New Roman" w:eastAsia="Times New Roman" w:hAnsi="Times New Roman" w:cs="Times New Roman"/>
          <w:sz w:val="28"/>
          <w:szCs w:val="28"/>
        </w:rPr>
        <w:t xml:space="preserve">quarter, </w:t>
      </w:r>
      <w:r w:rsidR="00BB232A">
        <w:rPr>
          <w:rFonts w:ascii="Times New Roman" w:eastAsia="Times New Roman" w:hAnsi="Times New Roman" w:cs="Times New Roman"/>
          <w:sz w:val="28"/>
          <w:szCs w:val="28"/>
        </w:rPr>
        <w:t>12,555</w:t>
      </w:r>
      <w:r w:rsidR="00CF3447">
        <w:rPr>
          <w:rFonts w:ascii="Times New Roman" w:eastAsia="Times New Roman" w:hAnsi="Times New Roman" w:cs="Times New Roman"/>
          <w:sz w:val="28"/>
          <w:szCs w:val="28"/>
        </w:rPr>
        <w:t xml:space="preserve"> jobs were lost at </w:t>
      </w:r>
      <w:r w:rsidR="00BB232A">
        <w:rPr>
          <w:rFonts w:ascii="Times New Roman" w:eastAsia="Times New Roman" w:hAnsi="Times New Roman" w:cs="Times New Roman"/>
          <w:sz w:val="28"/>
          <w:szCs w:val="28"/>
        </w:rPr>
        <w:t>3,875</w:t>
      </w:r>
      <w:r w:rsidR="00F3038E" w:rsidRPr="00FB3D05">
        <w:rPr>
          <w:rFonts w:ascii="Times New Roman" w:eastAsia="Times New Roman" w:hAnsi="Times New Roman" w:cs="Times New Roman"/>
          <w:sz w:val="28"/>
          <w:szCs w:val="28"/>
        </w:rPr>
        <w:t xml:space="preserve"> </w:t>
      </w:r>
      <w:r w:rsidR="009435B8">
        <w:rPr>
          <w:rFonts w:ascii="Times New Roman" w:eastAsia="Times New Roman" w:hAnsi="Times New Roman" w:cs="Times New Roman"/>
          <w:sz w:val="28"/>
          <w:szCs w:val="28"/>
        </w:rPr>
        <w:t>establishment deaths</w:t>
      </w:r>
      <w:r w:rsidR="009B5C2E" w:rsidRPr="00FB3D05">
        <w:rPr>
          <w:rFonts w:ascii="Times New Roman" w:eastAsia="Times New Roman" w:hAnsi="Times New Roman" w:cs="Times New Roman"/>
          <w:sz w:val="28"/>
          <w:szCs w:val="28"/>
        </w:rPr>
        <w:t>.</w:t>
      </w:r>
      <w:r w:rsidR="00C42F53">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 xml:space="preserve">The third quarter of 2020 represents the first complete quarter of recovery from </w:t>
      </w:r>
      <w:r w:rsidR="00C42F53">
        <w:rPr>
          <w:rFonts w:ascii="Times New Roman" w:eastAsia="Times New Roman" w:hAnsi="Times New Roman" w:cs="Times New Roman"/>
          <w:sz w:val="28"/>
          <w:szCs w:val="28"/>
        </w:rPr>
        <w:t>the 2020 recession</w:t>
      </w:r>
      <w:r w:rsidR="00BB232A">
        <w:rPr>
          <w:rFonts w:ascii="Times New Roman" w:eastAsia="Times New Roman" w:hAnsi="Times New Roman" w:cs="Times New Roman"/>
          <w:sz w:val="28"/>
          <w:szCs w:val="28"/>
        </w:rPr>
        <w:t>, which lasted from February to April of that year.</w:t>
      </w:r>
    </w:p>
    <w:p w14:paraId="36DC9099" w14:textId="2A2672D6" w:rsidR="008D637E" w:rsidRDefault="00381566"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56501B7E" wp14:editId="76D674AA">
            <wp:extent cx="5330825" cy="2553419"/>
            <wp:effectExtent l="0" t="0" r="3175" b="18415"/>
            <wp:docPr id="13" name="Chart 1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E29AC">
        <w:rPr>
          <w:rFonts w:ascii="Times New Roman" w:eastAsia="Times New Roman" w:hAnsi="Times New Roman" w:cs="Times New Roman"/>
          <w:sz w:val="30"/>
          <w:szCs w:val="30"/>
        </w:rPr>
        <w:br/>
      </w:r>
    </w:p>
    <w:p w14:paraId="19FBDC58" w14:textId="25AAB8FE" w:rsidR="00540D0A" w:rsidRDefault="009B5C2E" w:rsidP="00BA5D8C">
      <w:pPr>
        <w:spacing w:after="0" w:line="240" w:lineRule="auto"/>
        <w:rPr>
          <w:rFonts w:ascii="Times New Roman" w:eastAsia="Times New Roman" w:hAnsi="Times New Roman" w:cs="Times New Roman"/>
          <w:sz w:val="28"/>
          <w:szCs w:val="28"/>
        </w:rPr>
      </w:pPr>
      <w:r w:rsidRPr="00AA6ED5">
        <w:rPr>
          <w:rFonts w:ascii="Times New Roman" w:eastAsia="Times New Roman" w:hAnsi="Times New Roman" w:cs="Times New Roman"/>
          <w:sz w:val="28"/>
          <w:szCs w:val="28"/>
        </w:rPr>
        <w:lastRenderedPageBreak/>
        <w:t xml:space="preserve">The </w:t>
      </w:r>
      <w:r w:rsidRPr="00AA6ED5">
        <w:rPr>
          <w:rFonts w:ascii="Times New Roman" w:eastAsia="Times New Roman" w:hAnsi="Times New Roman" w:cs="Times New Roman"/>
          <w:b/>
          <w:sz w:val="28"/>
          <w:szCs w:val="28"/>
        </w:rPr>
        <w:t>net change</w:t>
      </w:r>
      <w:r w:rsidRPr="00AA6ED5">
        <w:rPr>
          <w:rFonts w:ascii="Times New Roman" w:eastAsia="Times New Roman" w:hAnsi="Times New Roman" w:cs="Times New Roman"/>
          <w:sz w:val="28"/>
          <w:szCs w:val="28"/>
        </w:rPr>
        <w:t xml:space="preserve"> of </w:t>
      </w:r>
      <w:r w:rsidRPr="00AA6ED5">
        <w:rPr>
          <w:rFonts w:ascii="Times New Roman" w:eastAsia="Times New Roman" w:hAnsi="Times New Roman" w:cs="Times New Roman"/>
          <w:b/>
          <w:sz w:val="28"/>
          <w:szCs w:val="28"/>
        </w:rPr>
        <w:t>establishment births and deaths</w:t>
      </w:r>
      <w:r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 xml:space="preserve">recession from the </w:t>
      </w:r>
      <w:r w:rsidR="00381566">
        <w:rPr>
          <w:rFonts w:ascii="Times New Roman" w:eastAsia="Times New Roman" w:hAnsi="Times New Roman" w:cs="Times New Roman"/>
          <w:sz w:val="28"/>
          <w:szCs w:val="28"/>
        </w:rPr>
        <w:t>first quarter</w:t>
      </w:r>
      <w:r w:rsidR="00FE15AC" w:rsidRPr="00AA6ED5">
        <w:rPr>
          <w:rFonts w:ascii="Times New Roman" w:eastAsia="Times New Roman" w:hAnsi="Times New Roman" w:cs="Times New Roman"/>
          <w:sz w:val="28"/>
          <w:szCs w:val="28"/>
        </w:rPr>
        <w:t xml:space="preserve">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From 2010</w:t>
      </w:r>
      <w:r w:rsidR="00C42F53">
        <w:rPr>
          <w:rFonts w:ascii="Times New Roman" w:eastAsia="Times New Roman" w:hAnsi="Times New Roman" w:cs="Times New Roman"/>
          <w:sz w:val="28"/>
          <w:szCs w:val="28"/>
        </w:rPr>
        <w:t>Q2</w:t>
      </w:r>
      <w:r w:rsidR="0040200D">
        <w:rPr>
          <w:rFonts w:ascii="Times New Roman" w:eastAsia="Times New Roman" w:hAnsi="Times New Roman" w:cs="Times New Roman"/>
          <w:sz w:val="28"/>
          <w:szCs w:val="28"/>
        </w:rPr>
        <w:t>-2018</w:t>
      </w:r>
      <w:r w:rsidR="0094656F">
        <w:rPr>
          <w:rFonts w:ascii="Times New Roman" w:eastAsia="Times New Roman" w:hAnsi="Times New Roman" w:cs="Times New Roman"/>
          <w:sz w:val="28"/>
          <w:szCs w:val="28"/>
        </w:rPr>
        <w:t>Q4</w:t>
      </w:r>
      <w:r w:rsidR="0040200D">
        <w:rPr>
          <w:rFonts w:ascii="Times New Roman" w:eastAsia="Times New Roman" w:hAnsi="Times New Roman" w:cs="Times New Roman"/>
          <w:sz w:val="28"/>
          <w:szCs w:val="28"/>
        </w:rPr>
        <w:t xml:space="preserve">, it ranged between -354 and +903 quarter to quarter change.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t>During the first half of 2019, net change fell by 2,011 establishments in the first quarter and 53</w:t>
      </w:r>
      <w:r w:rsidR="0094656F">
        <w:rPr>
          <w:rFonts w:ascii="Times New Roman" w:eastAsia="Times New Roman" w:hAnsi="Times New Roman" w:cs="Times New Roman"/>
          <w:sz w:val="28"/>
          <w:szCs w:val="28"/>
        </w:rPr>
        <w:t>3</w:t>
      </w:r>
      <w:r w:rsidR="0040200D">
        <w:rPr>
          <w:rFonts w:ascii="Times New Roman" w:eastAsia="Times New Roman" w:hAnsi="Times New Roman" w:cs="Times New Roman"/>
          <w:sz w:val="28"/>
          <w:szCs w:val="28"/>
        </w:rPr>
        <w:t xml:space="preserve"> in the second.   It recovered to a </w:t>
      </w:r>
      <w:r w:rsidR="0094656F">
        <w:rPr>
          <w:rFonts w:ascii="Times New Roman" w:eastAsia="Times New Roman" w:hAnsi="Times New Roman" w:cs="Times New Roman"/>
          <w:sz w:val="28"/>
          <w:szCs w:val="28"/>
        </w:rPr>
        <w:t>54</w:t>
      </w:r>
      <w:r w:rsidR="0040200D">
        <w:rPr>
          <w:rFonts w:ascii="Times New Roman" w:eastAsia="Times New Roman" w:hAnsi="Times New Roman" w:cs="Times New Roman"/>
          <w:sz w:val="28"/>
          <w:szCs w:val="28"/>
        </w:rPr>
        <w:t xml:space="preserve"> establishment increase in the third quarter</w:t>
      </w:r>
      <w:r w:rsidR="007D7788">
        <w:rPr>
          <w:rFonts w:ascii="Times New Roman" w:eastAsia="Times New Roman" w:hAnsi="Times New Roman" w:cs="Times New Roman"/>
          <w:sz w:val="28"/>
          <w:szCs w:val="28"/>
        </w:rPr>
        <w:t xml:space="preserve"> and fell by 1</w:t>
      </w:r>
      <w:r w:rsidR="0094656F">
        <w:rPr>
          <w:rFonts w:ascii="Times New Roman" w:eastAsia="Times New Roman" w:hAnsi="Times New Roman" w:cs="Times New Roman"/>
          <w:sz w:val="28"/>
          <w:szCs w:val="28"/>
        </w:rPr>
        <w:t>44</w:t>
      </w:r>
      <w:r w:rsidR="007D7788">
        <w:rPr>
          <w:rFonts w:ascii="Times New Roman" w:eastAsia="Times New Roman" w:hAnsi="Times New Roman" w:cs="Times New Roman"/>
          <w:sz w:val="28"/>
          <w:szCs w:val="28"/>
        </w:rPr>
        <w:t xml:space="preserve"> in the fourth quarter of 2019</w:t>
      </w:r>
      <w:r w:rsidR="001E7CB2">
        <w:rPr>
          <w:rFonts w:ascii="Times New Roman" w:eastAsia="Times New Roman" w:hAnsi="Times New Roman" w:cs="Times New Roman"/>
          <w:sz w:val="28"/>
          <w:szCs w:val="28"/>
        </w:rPr>
        <w:t xml:space="preserve">.  During the first quarter of 2020, net establishment births and deaths was </w:t>
      </w:r>
      <w:r w:rsidR="00AA6E12">
        <w:rPr>
          <w:rFonts w:ascii="Times New Roman" w:eastAsia="Times New Roman" w:hAnsi="Times New Roman" w:cs="Times New Roman"/>
          <w:sz w:val="28"/>
          <w:szCs w:val="28"/>
        </w:rPr>
        <w:t xml:space="preserve">up </w:t>
      </w:r>
      <w:r w:rsidR="0094656F">
        <w:rPr>
          <w:rFonts w:ascii="Times New Roman" w:eastAsia="Times New Roman" w:hAnsi="Times New Roman" w:cs="Times New Roman"/>
          <w:sz w:val="28"/>
          <w:szCs w:val="28"/>
        </w:rPr>
        <w:t xml:space="preserve">4,079 and </w:t>
      </w:r>
      <w:r w:rsidR="00AA6E12">
        <w:rPr>
          <w:rFonts w:ascii="Times New Roman" w:eastAsia="Times New Roman" w:hAnsi="Times New Roman" w:cs="Times New Roman"/>
          <w:sz w:val="28"/>
          <w:szCs w:val="28"/>
        </w:rPr>
        <w:t xml:space="preserve">was down </w:t>
      </w:r>
      <w:r w:rsidR="0094656F">
        <w:rPr>
          <w:rFonts w:ascii="Times New Roman" w:eastAsia="Times New Roman" w:hAnsi="Times New Roman" w:cs="Times New Roman"/>
          <w:sz w:val="28"/>
          <w:szCs w:val="28"/>
        </w:rPr>
        <w:t>1,546 during the second quarter of 2020</w:t>
      </w:r>
      <w:r w:rsidR="00BB232A">
        <w:rPr>
          <w:rFonts w:ascii="Times New Roman" w:eastAsia="Times New Roman" w:hAnsi="Times New Roman" w:cs="Times New Roman"/>
          <w:sz w:val="28"/>
          <w:szCs w:val="28"/>
        </w:rPr>
        <w:t xml:space="preserve">.  During the third quarter of 2020, net change had rebounded to </w:t>
      </w:r>
      <w:r w:rsidR="007813BA">
        <w:rPr>
          <w:rFonts w:ascii="Times New Roman" w:eastAsia="Times New Roman" w:hAnsi="Times New Roman" w:cs="Times New Roman"/>
          <w:sz w:val="28"/>
          <w:szCs w:val="28"/>
        </w:rPr>
        <w:t>a 656 gain</w:t>
      </w:r>
      <w:r w:rsidR="00BB232A">
        <w:rPr>
          <w:rFonts w:ascii="Times New Roman" w:eastAsia="Times New Roman" w:hAnsi="Times New Roman" w:cs="Times New Roman"/>
          <w:sz w:val="28"/>
          <w:szCs w:val="28"/>
        </w:rPr>
        <w:t xml:space="preserve"> (the last quarter of </w:t>
      </w:r>
      <w:r w:rsidR="0040200D">
        <w:rPr>
          <w:rFonts w:ascii="Times New Roman" w:eastAsia="Times New Roman" w:hAnsi="Times New Roman" w:cs="Times New Roman"/>
          <w:sz w:val="28"/>
          <w:szCs w:val="28"/>
        </w:rPr>
        <w:t>available data).</w:t>
      </w:r>
      <w:r w:rsidR="0094656F">
        <w:rPr>
          <w:rFonts w:ascii="Times New Roman" w:eastAsia="Times New Roman" w:hAnsi="Times New Roman" w:cs="Times New Roman"/>
          <w:sz w:val="28"/>
          <w:szCs w:val="28"/>
        </w:rPr>
        <w:t xml:space="preserve">  These net establishment changes are heavily impacted by the 2020 recession as is shown in Chart 4.</w:t>
      </w:r>
    </w:p>
    <w:p w14:paraId="6E5F32D8" w14:textId="552E6CCC" w:rsidR="001E7CB2" w:rsidRDefault="001E7CB2" w:rsidP="00BA5D8C">
      <w:pPr>
        <w:spacing w:after="0" w:line="240" w:lineRule="auto"/>
        <w:rPr>
          <w:rFonts w:ascii="Times New Roman" w:eastAsia="Times New Roman" w:hAnsi="Times New Roman" w:cs="Times New Roman"/>
          <w:sz w:val="28"/>
          <w:szCs w:val="28"/>
        </w:rPr>
      </w:pPr>
    </w:p>
    <w:p w14:paraId="6FF1C544" w14:textId="1AD019C2" w:rsidR="002D0151" w:rsidRDefault="00316093" w:rsidP="009A0DC4">
      <w:pPr>
        <w:spacing w:after="0" w:line="240" w:lineRule="auto"/>
        <w:rPr>
          <w:noProof/>
        </w:rPr>
      </w:pPr>
      <w:r w:rsidRPr="007A7078">
        <w:rPr>
          <w:rFonts w:ascii="Times New Roman" w:eastAsia="Times New Roman" w:hAnsi="Times New Roman" w:cs="Times New Roman"/>
          <w:sz w:val="28"/>
          <w:szCs w:val="28"/>
        </w:rPr>
        <w:t>During</w:t>
      </w:r>
      <w:r w:rsidR="00707D93">
        <w:rPr>
          <w:rFonts w:ascii="Times New Roman" w:eastAsia="Times New Roman" w:hAnsi="Times New Roman" w:cs="Times New Roman"/>
          <w:sz w:val="28"/>
          <w:szCs w:val="28"/>
        </w:rPr>
        <w:t xml:space="preserve"> the</w:t>
      </w:r>
      <w:r w:rsidR="00A369AC">
        <w:rPr>
          <w:rFonts w:ascii="Times New Roman" w:eastAsia="Times New Roman" w:hAnsi="Times New Roman" w:cs="Times New Roman"/>
          <w:sz w:val="28"/>
          <w:szCs w:val="28"/>
        </w:rPr>
        <w:t xml:space="preserve"> </w:t>
      </w:r>
      <w:r w:rsidR="00381566">
        <w:rPr>
          <w:rFonts w:ascii="Times New Roman" w:eastAsia="Times New Roman" w:hAnsi="Times New Roman" w:cs="Times New Roman"/>
          <w:sz w:val="28"/>
          <w:szCs w:val="28"/>
        </w:rPr>
        <w:t>second quarter</w:t>
      </w:r>
      <w:r w:rsidR="00D2556A">
        <w:rPr>
          <w:rFonts w:ascii="Times New Roman" w:eastAsia="Times New Roman" w:hAnsi="Times New Roman" w:cs="Times New Roman"/>
          <w:sz w:val="28"/>
          <w:szCs w:val="28"/>
        </w:rPr>
        <w:t xml:space="preserve"> of </w:t>
      </w:r>
      <w:r w:rsidR="00AB4403">
        <w:rPr>
          <w:rFonts w:ascii="Times New Roman" w:eastAsia="Times New Roman" w:hAnsi="Times New Roman" w:cs="Times New Roman"/>
          <w:sz w:val="28"/>
          <w:szCs w:val="28"/>
        </w:rPr>
        <w:t>202</w:t>
      </w:r>
      <w:r w:rsidR="0094656F">
        <w:rPr>
          <w:rFonts w:ascii="Times New Roman" w:eastAsia="Times New Roman" w:hAnsi="Times New Roman" w:cs="Times New Roman"/>
          <w:sz w:val="28"/>
          <w:szCs w:val="28"/>
        </w:rPr>
        <w:t>1</w:t>
      </w:r>
      <w:r w:rsidR="00745757">
        <w:rPr>
          <w:rFonts w:ascii="Times New Roman" w:eastAsia="Times New Roman" w:hAnsi="Times New Roman" w:cs="Times New Roman"/>
          <w:sz w:val="28"/>
          <w:szCs w:val="28"/>
        </w:rPr>
        <w:t>,</w:t>
      </w:r>
      <w:r w:rsidR="00446580">
        <w:rPr>
          <w:rFonts w:ascii="Times New Roman" w:eastAsia="Times New Roman" w:hAnsi="Times New Roman" w:cs="Times New Roman"/>
          <w:sz w:val="28"/>
          <w:szCs w:val="28"/>
        </w:rPr>
        <w:t xml:space="preserve"> </w:t>
      </w:r>
      <w:r w:rsidR="00182341">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gains</w:t>
      </w:r>
      <w:r w:rsidR="00446580">
        <w:rPr>
          <w:rFonts w:ascii="Times New Roman" w:eastAsia="Times New Roman" w:hAnsi="Times New Roman" w:cs="Times New Roman"/>
          <w:b/>
          <w:sz w:val="28"/>
          <w:szCs w:val="28"/>
        </w:rPr>
        <w:t xml:space="preserve"> </w:t>
      </w:r>
      <w:r w:rsidR="00446580">
        <w:rPr>
          <w:rFonts w:ascii="Times New Roman" w:eastAsia="Times New Roman" w:hAnsi="Times New Roman" w:cs="Times New Roman"/>
          <w:sz w:val="28"/>
          <w:szCs w:val="28"/>
        </w:rPr>
        <w:t xml:space="preserve">exceeded </w:t>
      </w:r>
      <w:r w:rsidR="009435B8">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losse</w:t>
      </w:r>
      <w:r w:rsidR="00182341">
        <w:rPr>
          <w:rFonts w:ascii="Times New Roman" w:eastAsia="Times New Roman" w:hAnsi="Times New Roman" w:cs="Times New Roman"/>
          <w:b/>
          <w:sz w:val="28"/>
          <w:szCs w:val="28"/>
        </w:rPr>
        <w:t>s</w:t>
      </w:r>
      <w:r w:rsidR="009542A8">
        <w:rPr>
          <w:rFonts w:ascii="Times New Roman" w:eastAsia="Times New Roman" w:hAnsi="Times New Roman" w:cs="Times New Roman"/>
          <w:sz w:val="28"/>
          <w:szCs w:val="28"/>
        </w:rPr>
        <w:t xml:space="preserve"> in</w:t>
      </w:r>
      <w:r w:rsidR="00182341">
        <w:rPr>
          <w:rFonts w:ascii="Times New Roman" w:eastAsia="Times New Roman" w:hAnsi="Times New Roman" w:cs="Times New Roman"/>
          <w:sz w:val="28"/>
          <w:szCs w:val="28"/>
        </w:rPr>
        <w:t xml:space="preserve"> </w:t>
      </w:r>
      <w:r w:rsidR="007813BA">
        <w:rPr>
          <w:rFonts w:ascii="Times New Roman" w:eastAsia="Times New Roman" w:hAnsi="Times New Roman" w:cs="Times New Roman"/>
          <w:sz w:val="28"/>
          <w:szCs w:val="28"/>
        </w:rPr>
        <w:t>5</w:t>
      </w:r>
      <w:r w:rsidR="001E7CB2">
        <w:rPr>
          <w:rFonts w:ascii="Times New Roman" w:eastAsia="Times New Roman" w:hAnsi="Times New Roman" w:cs="Times New Roman"/>
          <w:sz w:val="28"/>
          <w:szCs w:val="28"/>
        </w:rPr>
        <w:t xml:space="preserve"> of 10</w:t>
      </w:r>
      <w:r w:rsidR="00540D0A">
        <w:rPr>
          <w:rFonts w:ascii="Times New Roman" w:eastAsia="Times New Roman" w:hAnsi="Times New Roman" w:cs="Times New Roman"/>
          <w:sz w:val="28"/>
          <w:szCs w:val="28"/>
        </w:rPr>
        <w:t xml:space="preserve"> indust</w:t>
      </w:r>
      <w:r w:rsidR="001E7CB2">
        <w:rPr>
          <w:rFonts w:ascii="Times New Roman" w:eastAsia="Times New Roman" w:hAnsi="Times New Roman" w:cs="Times New Roman"/>
          <w:sz w:val="28"/>
          <w:szCs w:val="28"/>
        </w:rPr>
        <w:t>ries</w:t>
      </w:r>
      <w:r w:rsidR="006C06F2" w:rsidRPr="002A315A">
        <w:rPr>
          <w:rFonts w:ascii="Times New Roman" w:eastAsia="Times New Roman" w:hAnsi="Times New Roman" w:cs="Times New Roman"/>
          <w:sz w:val="28"/>
          <w:szCs w:val="28"/>
        </w:rPr>
        <w:t>.</w:t>
      </w:r>
      <w:r w:rsidR="007D7788">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Strong net increases were had in</w:t>
      </w:r>
      <w:r w:rsidR="007813BA">
        <w:rPr>
          <w:rFonts w:ascii="Times New Roman" w:eastAsia="Times New Roman" w:hAnsi="Times New Roman" w:cs="Times New Roman"/>
          <w:sz w:val="28"/>
          <w:szCs w:val="28"/>
        </w:rPr>
        <w:t xml:space="preserve"> Leisure &amp; Hospitality</w:t>
      </w:r>
      <w:r w:rsidR="007B2F7B">
        <w:rPr>
          <w:rFonts w:ascii="Times New Roman" w:eastAsia="Times New Roman" w:hAnsi="Times New Roman" w:cs="Times New Roman"/>
          <w:sz w:val="28"/>
          <w:szCs w:val="28"/>
        </w:rPr>
        <w:t xml:space="preserve"> </w:t>
      </w:r>
      <w:r w:rsidR="007813BA">
        <w:rPr>
          <w:rFonts w:ascii="Times New Roman" w:eastAsia="Times New Roman" w:hAnsi="Times New Roman" w:cs="Times New Roman"/>
          <w:sz w:val="28"/>
          <w:szCs w:val="28"/>
        </w:rPr>
        <w:t>and Professional &amp; Business Services.  Among the five net negative industries, the two largest were Transportation &amp; Warehousing and Financial Activities.</w:t>
      </w:r>
      <w:r w:rsidR="001E7CB2">
        <w:rPr>
          <w:rFonts w:ascii="Times New Roman" w:eastAsia="Times New Roman" w:hAnsi="Times New Roman" w:cs="Times New Roman"/>
          <w:sz w:val="28"/>
          <w:szCs w:val="28"/>
        </w:rPr>
        <w:br/>
      </w:r>
    </w:p>
    <w:p w14:paraId="2929BFCF" w14:textId="5B958501" w:rsidR="003D0A6C" w:rsidRDefault="00381566" w:rsidP="00BE7741">
      <w:pPr>
        <w:spacing w:after="0" w:line="240" w:lineRule="auto"/>
        <w:jc w:val="center"/>
        <w:rPr>
          <w:noProof/>
        </w:rPr>
      </w:pPr>
      <w:r>
        <w:rPr>
          <w:noProof/>
        </w:rPr>
        <w:drawing>
          <wp:inline distT="0" distB="0" distL="0" distR="0" wp14:anchorId="2A7A5442" wp14:editId="31FF31C8">
            <wp:extent cx="5255896" cy="2887346"/>
            <wp:effectExtent l="0" t="0" r="1905" b="8255"/>
            <wp:docPr id="12" name="Chart 1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7788">
        <w:rPr>
          <w:noProof/>
        </w:rPr>
        <w:br/>
      </w:r>
      <w:r w:rsidR="005C7F95">
        <w:rPr>
          <w:noProof/>
        </w:rPr>
        <w:br/>
      </w:r>
      <w:r w:rsidR="005C7F95">
        <w:rPr>
          <w:noProof/>
        </w:rPr>
        <w:br/>
      </w:r>
    </w:p>
    <w:p w14:paraId="41B036A6" w14:textId="68490CAD" w:rsidR="003D0A6C" w:rsidRDefault="003D0A6C" w:rsidP="009A0DC4">
      <w:pPr>
        <w:spacing w:after="0" w:line="240" w:lineRule="auto"/>
        <w:rPr>
          <w:noProof/>
        </w:rPr>
      </w:pP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3"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3C6F7B72" w14:textId="76CB0B2E" w:rsidR="009D2827" w:rsidRDefault="00381566" w:rsidP="00CD17BA">
      <w:pPr>
        <w:spacing w:after="0" w:line="240" w:lineRule="auto"/>
        <w:rPr>
          <w:rFonts w:ascii="Times New Roman" w:eastAsia="Times New Roman" w:hAnsi="Times New Roman" w:cs="Times New Roman"/>
          <w:b/>
          <w:sz w:val="30"/>
          <w:szCs w:val="30"/>
        </w:rPr>
      </w:pPr>
      <w:r w:rsidRPr="00381566">
        <w:rPr>
          <w:noProof/>
        </w:rPr>
        <w:lastRenderedPageBreak/>
        <w:drawing>
          <wp:inline distT="0" distB="0" distL="0" distR="0" wp14:anchorId="439BC6EE" wp14:editId="3FA79D14">
            <wp:extent cx="6847840" cy="7522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522210"/>
                    </a:xfrm>
                    <a:prstGeom prst="rect">
                      <a:avLst/>
                    </a:prstGeom>
                    <a:noFill/>
                    <a:ln>
                      <a:noFill/>
                    </a:ln>
                  </pic:spPr>
                </pic:pic>
              </a:graphicData>
            </a:graphic>
          </wp:inline>
        </w:drawing>
      </w:r>
      <w:r>
        <w:rPr>
          <w:noProof/>
        </w:rPr>
        <w:br/>
      </w:r>
      <w:r w:rsidRPr="00381566">
        <w:rPr>
          <w:noProof/>
        </w:rPr>
        <w:lastRenderedPageBreak/>
        <w:drawing>
          <wp:inline distT="0" distB="0" distL="0" distR="0" wp14:anchorId="3C8A5F2A" wp14:editId="098F6F0C">
            <wp:extent cx="6847840" cy="4897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897755"/>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n3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E458" w14:textId="77777777" w:rsidR="003B3293" w:rsidRDefault="003B3293" w:rsidP="00D01564">
      <w:pPr>
        <w:spacing w:after="0" w:line="240" w:lineRule="auto"/>
      </w:pPr>
      <w:r>
        <w:separator/>
      </w:r>
    </w:p>
  </w:endnote>
  <w:endnote w:type="continuationSeparator" w:id="0">
    <w:p w14:paraId="747D7D49" w14:textId="77777777" w:rsidR="003B3293" w:rsidRDefault="003B329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857D" w14:textId="77777777" w:rsidR="003B3293" w:rsidRDefault="003B3293" w:rsidP="00D01564">
      <w:pPr>
        <w:spacing w:after="0" w:line="240" w:lineRule="auto"/>
      </w:pPr>
      <w:r>
        <w:separator/>
      </w:r>
    </w:p>
  </w:footnote>
  <w:footnote w:type="continuationSeparator" w:id="0">
    <w:p w14:paraId="777C46C1" w14:textId="77777777" w:rsidR="003B3293" w:rsidRDefault="003B3293"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10CD"/>
    <w:rsid w:val="000024BA"/>
    <w:rsid w:val="00007571"/>
    <w:rsid w:val="00013B9D"/>
    <w:rsid w:val="00020E4E"/>
    <w:rsid w:val="00026DE4"/>
    <w:rsid w:val="00033251"/>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A1EFF"/>
    <w:rsid w:val="001A38F9"/>
    <w:rsid w:val="001C16AF"/>
    <w:rsid w:val="001C47FE"/>
    <w:rsid w:val="001C51CA"/>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2E66"/>
    <w:rsid w:val="002D2EDC"/>
    <w:rsid w:val="002D43D7"/>
    <w:rsid w:val="002D473B"/>
    <w:rsid w:val="002D73F8"/>
    <w:rsid w:val="002E1885"/>
    <w:rsid w:val="002E1AED"/>
    <w:rsid w:val="002E44F2"/>
    <w:rsid w:val="002E60B1"/>
    <w:rsid w:val="002F3968"/>
    <w:rsid w:val="002F55E7"/>
    <w:rsid w:val="002F5DF8"/>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1566"/>
    <w:rsid w:val="00382A92"/>
    <w:rsid w:val="00382E0C"/>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7882"/>
    <w:rsid w:val="004F3949"/>
    <w:rsid w:val="00511168"/>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F4716"/>
    <w:rsid w:val="005F5F10"/>
    <w:rsid w:val="005F6772"/>
    <w:rsid w:val="00603716"/>
    <w:rsid w:val="00607A6E"/>
    <w:rsid w:val="006203C3"/>
    <w:rsid w:val="0062694C"/>
    <w:rsid w:val="00637834"/>
    <w:rsid w:val="006414CB"/>
    <w:rsid w:val="006420A4"/>
    <w:rsid w:val="00645502"/>
    <w:rsid w:val="0065207E"/>
    <w:rsid w:val="00653FC6"/>
    <w:rsid w:val="006627A6"/>
    <w:rsid w:val="00662815"/>
    <w:rsid w:val="006765A2"/>
    <w:rsid w:val="00681321"/>
    <w:rsid w:val="00682DC8"/>
    <w:rsid w:val="00684BAC"/>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7176"/>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DC4"/>
    <w:rsid w:val="009B5C2E"/>
    <w:rsid w:val="009C0C27"/>
    <w:rsid w:val="009D2827"/>
    <w:rsid w:val="009D2CDC"/>
    <w:rsid w:val="009E1801"/>
    <w:rsid w:val="009E641D"/>
    <w:rsid w:val="009E79EC"/>
    <w:rsid w:val="00A0654D"/>
    <w:rsid w:val="00A07290"/>
    <w:rsid w:val="00A13B42"/>
    <w:rsid w:val="00A1688B"/>
    <w:rsid w:val="00A17100"/>
    <w:rsid w:val="00A33C8D"/>
    <w:rsid w:val="00A357A8"/>
    <w:rsid w:val="00A369AC"/>
    <w:rsid w:val="00A37487"/>
    <w:rsid w:val="00A40D40"/>
    <w:rsid w:val="00A43439"/>
    <w:rsid w:val="00A47202"/>
    <w:rsid w:val="00A50F25"/>
    <w:rsid w:val="00A6111A"/>
    <w:rsid w:val="00A6186F"/>
    <w:rsid w:val="00A62AF0"/>
    <w:rsid w:val="00A6353F"/>
    <w:rsid w:val="00A63F86"/>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5288C"/>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2009-2021</a:t>
            </a:r>
          </a:p>
          <a:p>
            <a:pPr>
              <a:defRPr/>
            </a:pPr>
            <a:endParaRPr lang="en-US"/>
          </a:p>
        </c:rich>
      </c:tx>
      <c:overlay val="0"/>
    </c:title>
    <c:autoTitleDeleted val="0"/>
    <c:plotArea>
      <c:layout>
        <c:manualLayout>
          <c:layoutTarget val="inner"/>
          <c:xMode val="edge"/>
          <c:yMode val="edge"/>
          <c:x val="0.13525240594925633"/>
          <c:y val="0.17818314377369496"/>
          <c:w val="0.79581627296587931"/>
          <c:h val="0.66682599997805658"/>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1-3'!$F$72:$F$121</c:f>
              <c:numCache>
                <c:formatCode>General</c:formatCode>
                <c:ptCount val="50"/>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pt idx="46">
                  <c:v>0</c:v>
                </c:pt>
                <c:pt idx="47">
                  <c:v>0</c:v>
                </c:pt>
                <c:pt idx="48">
                  <c:v>0</c:v>
                </c:pt>
                <c:pt idx="49">
                  <c:v>0</c:v>
                </c:pt>
              </c:numCache>
            </c:numRef>
          </c:val>
          <c:extLst>
            <c:ext xmlns:c16="http://schemas.microsoft.com/office/drawing/2014/chart" uri="{C3380CC4-5D6E-409C-BE32-E72D297353CC}">
              <c16:uniqueId val="{00000000-57EB-4398-9B94-B830DC281F7B}"/>
            </c:ext>
          </c:extLst>
        </c:ser>
        <c:dLbls>
          <c:showLegendKey val="0"/>
          <c:showVal val="0"/>
          <c:showCatName val="0"/>
          <c:showSerName val="0"/>
          <c:showPercent val="0"/>
          <c:showBubbleSize val="0"/>
        </c:dLbls>
        <c:gapWidth val="0"/>
        <c:axId val="102150528"/>
        <c:axId val="102152064"/>
      </c:barChart>
      <c:lineChart>
        <c:grouping val="standard"/>
        <c:varyColors val="0"/>
        <c:ser>
          <c:idx val="0"/>
          <c:order val="0"/>
          <c:tx>
            <c:strRef>
              <c:f>'Chart 1-3'!$N$4</c:f>
              <c:strCache>
                <c:ptCount val="1"/>
                <c:pt idx="0">
                  <c:v>Gross Job Gains</c:v>
                </c:pt>
              </c:strCache>
            </c:strRef>
          </c:tx>
          <c:marker>
            <c:symbol val="none"/>
          </c:marker>
          <c:cat>
            <c:multiLvlStrRef>
              <c:f>'Chart 1-3'!$H$72:$I$121</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1-3'!$N$72:$N$121</c:f>
              <c:numCache>
                <c:formatCode>#,##0</c:formatCode>
                <c:ptCount val="50"/>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75545</c:v>
                </c:pt>
                <c:pt idx="29">
                  <c:v>76945</c:v>
                </c:pt>
                <c:pt idx="30">
                  <c:v>75006</c:v>
                </c:pt>
                <c:pt idx="31">
                  <c:v>72831</c:v>
                </c:pt>
                <c:pt idx="32">
                  <c:v>84300</c:v>
                </c:pt>
                <c:pt idx="33">
                  <c:v>82076</c:v>
                </c:pt>
                <c:pt idx="34">
                  <c:v>76462</c:v>
                </c:pt>
                <c:pt idx="35" formatCode="General">
                  <c:v>76340</c:v>
                </c:pt>
                <c:pt idx="36" formatCode="General">
                  <c:v>74502</c:v>
                </c:pt>
                <c:pt idx="37" formatCode="General">
                  <c:v>83058</c:v>
                </c:pt>
                <c:pt idx="38" formatCode="General">
                  <c:v>76123</c:v>
                </c:pt>
                <c:pt idx="39" formatCode="General">
                  <c:v>76035</c:v>
                </c:pt>
                <c:pt idx="40" formatCode="General">
                  <c:v>75440</c:v>
                </c:pt>
                <c:pt idx="41" formatCode="General">
                  <c:v>82927</c:v>
                </c:pt>
                <c:pt idx="42" formatCode="General">
                  <c:v>78880</c:v>
                </c:pt>
                <c:pt idx="43" formatCode="General">
                  <c:v>78217</c:v>
                </c:pt>
                <c:pt idx="44" formatCode="General">
                  <c:v>84446</c:v>
                </c:pt>
                <c:pt idx="45" formatCode="General">
                  <c:v>58417</c:v>
                </c:pt>
                <c:pt idx="46" formatCode="General">
                  <c:v>148355</c:v>
                </c:pt>
                <c:pt idx="47" formatCode="General">
                  <c:v>88630</c:v>
                </c:pt>
                <c:pt idx="48" formatCode="General">
                  <c:v>85542</c:v>
                </c:pt>
                <c:pt idx="49" formatCode="General">
                  <c:v>90384</c:v>
                </c:pt>
              </c:numCache>
            </c:numRef>
          </c:val>
          <c:smooth val="0"/>
          <c:extLst>
            <c:ext xmlns:c16="http://schemas.microsoft.com/office/drawing/2014/chart" uri="{C3380CC4-5D6E-409C-BE32-E72D297353CC}">
              <c16:uniqueId val="{00000001-57EB-4398-9B94-B830DC281F7B}"/>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1-3'!$H$72:$I$121</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1-3'!$Q$72:$Q$121</c:f>
              <c:numCache>
                <c:formatCode>#,##0</c:formatCode>
                <c:ptCount val="50"/>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71764</c:v>
                </c:pt>
                <c:pt idx="29">
                  <c:v>76646</c:v>
                </c:pt>
                <c:pt idx="30">
                  <c:v>75708</c:v>
                </c:pt>
                <c:pt idx="31">
                  <c:v>75644</c:v>
                </c:pt>
                <c:pt idx="32">
                  <c:v>76931</c:v>
                </c:pt>
                <c:pt idx="33">
                  <c:v>75332</c:v>
                </c:pt>
                <c:pt idx="34">
                  <c:v>83080</c:v>
                </c:pt>
                <c:pt idx="35" formatCode="General">
                  <c:v>75575</c:v>
                </c:pt>
                <c:pt idx="36" formatCode="General">
                  <c:v>76418</c:v>
                </c:pt>
                <c:pt idx="37" formatCode="General">
                  <c:v>73169</c:v>
                </c:pt>
                <c:pt idx="38" formatCode="General">
                  <c:v>81606</c:v>
                </c:pt>
                <c:pt idx="39" formatCode="General">
                  <c:v>71665</c:v>
                </c:pt>
                <c:pt idx="40" formatCode="General">
                  <c:v>82334</c:v>
                </c:pt>
                <c:pt idx="41" formatCode="General">
                  <c:v>82428</c:v>
                </c:pt>
                <c:pt idx="42" formatCode="General">
                  <c:v>82574</c:v>
                </c:pt>
                <c:pt idx="43" formatCode="General">
                  <c:v>80006</c:v>
                </c:pt>
                <c:pt idx="44" formatCode="General">
                  <c:v>85604</c:v>
                </c:pt>
                <c:pt idx="45" formatCode="_(* #,##0_);_(* \(#,##0\);_(* &quot;-&quot;??_);_(@_)">
                  <c:v>263538</c:v>
                </c:pt>
                <c:pt idx="46" formatCode="General">
                  <c:v>65898</c:v>
                </c:pt>
                <c:pt idx="47" formatCode="General">
                  <c:v>79517</c:v>
                </c:pt>
                <c:pt idx="48" formatCode="General">
                  <c:v>71646</c:v>
                </c:pt>
                <c:pt idx="49" formatCode="General">
                  <c:v>80149</c:v>
                </c:pt>
              </c:numCache>
            </c:numRef>
          </c:val>
          <c:smooth val="0"/>
          <c:extLst>
            <c:ext xmlns:c16="http://schemas.microsoft.com/office/drawing/2014/chart" uri="{C3380CC4-5D6E-409C-BE32-E72D297353CC}">
              <c16:uniqueId val="{00000002-57EB-4398-9B94-B830DC281F7B}"/>
            </c:ext>
          </c:extLst>
        </c:ser>
        <c:dLbls>
          <c:showLegendKey val="0"/>
          <c:showVal val="0"/>
          <c:showCatName val="0"/>
          <c:showSerName val="0"/>
          <c:showPercent val="0"/>
          <c:showBubbleSize val="0"/>
        </c:dLbls>
        <c:marker val="1"/>
        <c:smooth val="0"/>
        <c:axId val="102150528"/>
        <c:axId val="102152064"/>
      </c:lineChart>
      <c:catAx>
        <c:axId val="102150528"/>
        <c:scaling>
          <c:orientation val="minMax"/>
        </c:scaling>
        <c:delete val="0"/>
        <c:axPos val="b"/>
        <c:numFmt formatCode="General" sourceLinked="1"/>
        <c:majorTickMark val="out"/>
        <c:minorTickMark val="none"/>
        <c:tickLblPos val="nextTo"/>
        <c:txPr>
          <a:bodyPr/>
          <a:lstStyle/>
          <a:p>
            <a:pPr>
              <a:defRPr sz="850">
                <a:solidFill>
                  <a:schemeClr val="tx1"/>
                </a:solidFill>
              </a:defRPr>
            </a:pPr>
            <a:endParaRPr lang="en-US"/>
          </a:p>
        </c:txPr>
        <c:crossAx val="102152064"/>
        <c:crosses val="autoZero"/>
        <c:auto val="1"/>
        <c:lblAlgn val="ctr"/>
        <c:lblOffset val="100"/>
        <c:noMultiLvlLbl val="0"/>
      </c:catAx>
      <c:valAx>
        <c:axId val="102152064"/>
        <c:scaling>
          <c:orientation val="minMax"/>
          <c:max val="270000"/>
        </c:scaling>
        <c:delete val="0"/>
        <c:axPos val="l"/>
        <c:majorGridlines/>
        <c:numFmt formatCode="#,##0" sourceLinked="0"/>
        <c:majorTickMark val="out"/>
        <c:minorTickMark val="none"/>
        <c:tickLblPos val="nextTo"/>
        <c:crossAx val="102150528"/>
        <c:crosses val="autoZero"/>
        <c:crossBetween val="between"/>
      </c:valAx>
      <c:spPr>
        <a:solidFill>
          <a:srgbClr val="FFFFFF"/>
        </a:solidFill>
      </c:spPr>
    </c:plotArea>
    <c:legend>
      <c:legendPos val="r"/>
      <c:legendEntry>
        <c:idx val="0"/>
        <c:delete val="1"/>
      </c:legendEntry>
      <c:layout>
        <c:manualLayout>
          <c:xMode val="edge"/>
          <c:yMode val="edge"/>
          <c:x val="0.60086032724170346"/>
          <c:y val="0.28664536167162669"/>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2. Components of CT private sector gross job gains and gross  job losses at expanding and contracting establishments, seasonally adjusted.  2009-2021</a:t>
            </a:r>
            <a:endParaRPr lang="en-US" sz="950">
              <a:effectLst/>
            </a:endParaRPr>
          </a:p>
        </c:rich>
      </c:tx>
      <c:layout>
        <c:manualLayout>
          <c:xMode val="edge"/>
          <c:yMode val="edge"/>
          <c:x val="0.10103277617037404"/>
          <c:y val="0"/>
        </c:manualLayout>
      </c:layout>
      <c:overlay val="0"/>
    </c:title>
    <c:autoTitleDeleted val="0"/>
    <c:plotArea>
      <c:layout>
        <c:manualLayout>
          <c:layoutTarget val="inner"/>
          <c:xMode val="edge"/>
          <c:yMode val="edge"/>
          <c:x val="0.13525240594925633"/>
          <c:y val="0.17818314377369496"/>
          <c:w val="0.79855463201132293"/>
          <c:h val="0.60363808690580345"/>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1-3'!$E$72:$E$121</c:f>
              <c:numCache>
                <c:formatCode>General</c:formatCode>
                <c:ptCount val="50"/>
                <c:pt idx="0">
                  <c:v>250000</c:v>
                </c:pt>
                <c:pt idx="1">
                  <c:v>250000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250000</c:v>
                </c:pt>
                <c:pt idx="45">
                  <c:v>250000</c:v>
                </c:pt>
                <c:pt idx="46">
                  <c:v>0</c:v>
                </c:pt>
                <c:pt idx="47">
                  <c:v>0</c:v>
                </c:pt>
                <c:pt idx="48">
                  <c:v>0</c:v>
                </c:pt>
                <c:pt idx="49">
                  <c:v>0</c:v>
                </c:pt>
              </c:numCache>
            </c:numRef>
          </c:val>
          <c:extLst>
            <c:ext xmlns:c16="http://schemas.microsoft.com/office/drawing/2014/chart" uri="{C3380CC4-5D6E-409C-BE32-E72D297353CC}">
              <c16:uniqueId val="{00000000-C01F-44DA-90F3-1C1988FCEA4C}"/>
            </c:ext>
          </c:extLst>
        </c:ser>
        <c:dLbls>
          <c:showLegendKey val="0"/>
          <c:showVal val="0"/>
          <c:showCatName val="0"/>
          <c:showSerName val="0"/>
          <c:showPercent val="0"/>
          <c:showBubbleSize val="0"/>
        </c:dLbls>
        <c:gapWidth val="0"/>
        <c:axId val="102535552"/>
        <c:axId val="102537088"/>
      </c:barChart>
      <c:lineChart>
        <c:grouping val="standard"/>
        <c:varyColors val="0"/>
        <c:ser>
          <c:idx val="0"/>
          <c:order val="0"/>
          <c:tx>
            <c:strRef>
              <c:f>'Chart 1-3'!$O$4</c:f>
              <c:strCache>
                <c:ptCount val="1"/>
                <c:pt idx="0">
                  <c:v>Expansions</c:v>
                </c:pt>
              </c:strCache>
            </c:strRef>
          </c:tx>
          <c:marker>
            <c:symbol val="none"/>
          </c:marker>
          <c:cat>
            <c:multiLvlStrRef>
              <c:f>'Chart 1-3'!$H$72:$I$121</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1-3'!$O$72:$O$121</c:f>
              <c:numCache>
                <c:formatCode>#,##0</c:formatCode>
                <c:ptCount val="50"/>
                <c:pt idx="0">
                  <c:v>54991</c:v>
                </c:pt>
                <c:pt idx="1">
                  <c:v>60568</c:v>
                </c:pt>
                <c:pt idx="2">
                  <c:v>60949</c:v>
                </c:pt>
                <c:pt idx="3">
                  <c:v>61646</c:v>
                </c:pt>
                <c:pt idx="4">
                  <c:v>60528</c:v>
                </c:pt>
                <c:pt idx="5">
                  <c:v>67753</c:v>
                </c:pt>
                <c:pt idx="6">
                  <c:v>62360</c:v>
                </c:pt>
                <c:pt idx="7">
                  <c:v>64247</c:v>
                </c:pt>
                <c:pt idx="8">
                  <c:v>60869</c:v>
                </c:pt>
                <c:pt idx="9">
                  <c:v>66090</c:v>
                </c:pt>
                <c:pt idx="10">
                  <c:v>63763</c:v>
                </c:pt>
                <c:pt idx="11">
                  <c:v>62452</c:v>
                </c:pt>
                <c:pt idx="12">
                  <c:v>67456</c:v>
                </c:pt>
                <c:pt idx="13">
                  <c:v>64525</c:v>
                </c:pt>
                <c:pt idx="14">
                  <c:v>62902</c:v>
                </c:pt>
                <c:pt idx="15">
                  <c:v>65285</c:v>
                </c:pt>
                <c:pt idx="16">
                  <c:v>63148</c:v>
                </c:pt>
                <c:pt idx="17">
                  <c:v>66695</c:v>
                </c:pt>
                <c:pt idx="18">
                  <c:v>64712</c:v>
                </c:pt>
                <c:pt idx="19">
                  <c:v>62564</c:v>
                </c:pt>
                <c:pt idx="20">
                  <c:v>63975</c:v>
                </c:pt>
                <c:pt idx="21">
                  <c:v>66251</c:v>
                </c:pt>
                <c:pt idx="22">
                  <c:v>64047</c:v>
                </c:pt>
                <c:pt idx="23">
                  <c:v>66627</c:v>
                </c:pt>
                <c:pt idx="24">
                  <c:v>60599</c:v>
                </c:pt>
                <c:pt idx="25">
                  <c:v>69514</c:v>
                </c:pt>
                <c:pt idx="26">
                  <c:v>62467</c:v>
                </c:pt>
                <c:pt idx="27">
                  <c:v>66529</c:v>
                </c:pt>
                <c:pt idx="28">
                  <c:v>65629</c:v>
                </c:pt>
                <c:pt idx="29">
                  <c:v>68083</c:v>
                </c:pt>
                <c:pt idx="30">
                  <c:v>65212</c:v>
                </c:pt>
                <c:pt idx="31">
                  <c:v>62362</c:v>
                </c:pt>
                <c:pt idx="32">
                  <c:v>73712</c:v>
                </c:pt>
                <c:pt idx="33">
                  <c:v>71673</c:v>
                </c:pt>
                <c:pt idx="34">
                  <c:v>65658</c:v>
                </c:pt>
                <c:pt idx="35" formatCode="General">
                  <c:v>65888</c:v>
                </c:pt>
                <c:pt idx="36" formatCode="General">
                  <c:v>62467</c:v>
                </c:pt>
                <c:pt idx="37" formatCode="General">
                  <c:v>71199</c:v>
                </c:pt>
                <c:pt idx="38" formatCode="General">
                  <c:v>64485</c:v>
                </c:pt>
                <c:pt idx="39" formatCode="General">
                  <c:v>65449</c:v>
                </c:pt>
                <c:pt idx="40" formatCode="General">
                  <c:v>64557</c:v>
                </c:pt>
                <c:pt idx="41" formatCode="General">
                  <c:v>67105</c:v>
                </c:pt>
                <c:pt idx="42" formatCode="General">
                  <c:v>62199</c:v>
                </c:pt>
                <c:pt idx="43" formatCode="General">
                  <c:v>65309</c:v>
                </c:pt>
                <c:pt idx="44" formatCode="General">
                  <c:v>59958</c:v>
                </c:pt>
                <c:pt idx="45" formatCode="_(* #,##0_);_(* \(#,##0\);_(* &quot;-&quot;??_);_(@_)">
                  <c:v>43104</c:v>
                </c:pt>
                <c:pt idx="46" formatCode="General">
                  <c:v>122305</c:v>
                </c:pt>
                <c:pt idx="47" formatCode="General">
                  <c:v>71031</c:v>
                </c:pt>
                <c:pt idx="48" formatCode="General">
                  <c:v>68812</c:v>
                </c:pt>
                <c:pt idx="49" formatCode="General">
                  <c:v>70825</c:v>
                </c:pt>
              </c:numCache>
            </c:numRef>
          </c:val>
          <c:smooth val="0"/>
          <c:extLst>
            <c:ext xmlns:c16="http://schemas.microsoft.com/office/drawing/2014/chart" uri="{C3380CC4-5D6E-409C-BE32-E72D297353CC}">
              <c16:uniqueId val="{00000001-C01F-44DA-90F3-1C1988FCEA4C}"/>
            </c:ext>
          </c:extLst>
        </c:ser>
        <c:ser>
          <c:idx val="1"/>
          <c:order val="1"/>
          <c:tx>
            <c:strRef>
              <c:f>'Chart 1-3'!$R$4</c:f>
              <c:strCache>
                <c:ptCount val="1"/>
                <c:pt idx="0">
                  <c:v>Contractions</c:v>
                </c:pt>
              </c:strCache>
            </c:strRef>
          </c:tx>
          <c:spPr>
            <a:ln>
              <a:solidFill>
                <a:srgbClr val="FF0000"/>
              </a:solidFill>
              <a:prstDash val="solid"/>
            </a:ln>
          </c:spPr>
          <c:marker>
            <c:symbol val="none"/>
          </c:marker>
          <c:cat>
            <c:multiLvlStrRef>
              <c:f>'Chart 1-3'!$H$72:$I$121</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1-3'!$R$72:$R$121</c:f>
              <c:numCache>
                <c:formatCode>#,##0</c:formatCode>
                <c:ptCount val="50"/>
                <c:pt idx="0">
                  <c:v>82797</c:v>
                </c:pt>
                <c:pt idx="1">
                  <c:v>76813</c:v>
                </c:pt>
                <c:pt idx="2">
                  <c:v>68609</c:v>
                </c:pt>
                <c:pt idx="3">
                  <c:v>68338</c:v>
                </c:pt>
                <c:pt idx="4">
                  <c:v>65923</c:v>
                </c:pt>
                <c:pt idx="5">
                  <c:v>61981</c:v>
                </c:pt>
                <c:pt idx="6">
                  <c:v>60824</c:v>
                </c:pt>
                <c:pt idx="7">
                  <c:v>62571</c:v>
                </c:pt>
                <c:pt idx="8">
                  <c:v>60184</c:v>
                </c:pt>
                <c:pt idx="9">
                  <c:v>60108</c:v>
                </c:pt>
                <c:pt idx="10">
                  <c:v>61849</c:v>
                </c:pt>
                <c:pt idx="11">
                  <c:v>62759</c:v>
                </c:pt>
                <c:pt idx="12">
                  <c:v>59133</c:v>
                </c:pt>
                <c:pt idx="13">
                  <c:v>60503</c:v>
                </c:pt>
                <c:pt idx="14">
                  <c:v>65102</c:v>
                </c:pt>
                <c:pt idx="15">
                  <c:v>62592</c:v>
                </c:pt>
                <c:pt idx="16">
                  <c:v>62559</c:v>
                </c:pt>
                <c:pt idx="17">
                  <c:v>59803</c:v>
                </c:pt>
                <c:pt idx="18">
                  <c:v>66542</c:v>
                </c:pt>
                <c:pt idx="19">
                  <c:v>66379</c:v>
                </c:pt>
                <c:pt idx="20">
                  <c:v>62037</c:v>
                </c:pt>
                <c:pt idx="21">
                  <c:v>61329</c:v>
                </c:pt>
                <c:pt idx="22">
                  <c:v>63967</c:v>
                </c:pt>
                <c:pt idx="23">
                  <c:v>64606</c:v>
                </c:pt>
                <c:pt idx="24">
                  <c:v>66297</c:v>
                </c:pt>
                <c:pt idx="25">
                  <c:v>62360</c:v>
                </c:pt>
                <c:pt idx="26">
                  <c:v>71762</c:v>
                </c:pt>
                <c:pt idx="27">
                  <c:v>62215</c:v>
                </c:pt>
                <c:pt idx="28">
                  <c:v>64490</c:v>
                </c:pt>
                <c:pt idx="29">
                  <c:v>66821</c:v>
                </c:pt>
                <c:pt idx="30">
                  <c:v>66252</c:v>
                </c:pt>
                <c:pt idx="31">
                  <c:v>66829</c:v>
                </c:pt>
                <c:pt idx="32">
                  <c:v>68593</c:v>
                </c:pt>
                <c:pt idx="33">
                  <c:v>65155</c:v>
                </c:pt>
                <c:pt idx="34">
                  <c:v>71255</c:v>
                </c:pt>
                <c:pt idx="35" formatCode="General">
                  <c:v>65105</c:v>
                </c:pt>
                <c:pt idx="36" formatCode="General">
                  <c:v>67337</c:v>
                </c:pt>
                <c:pt idx="37" formatCode="General">
                  <c:v>63786</c:v>
                </c:pt>
                <c:pt idx="38" formatCode="General">
                  <c:v>70062</c:v>
                </c:pt>
                <c:pt idx="39" formatCode="General">
                  <c:v>62645</c:v>
                </c:pt>
                <c:pt idx="40" formatCode="General">
                  <c:v>64619</c:v>
                </c:pt>
                <c:pt idx="41" formatCode="General">
                  <c:v>68282</c:v>
                </c:pt>
                <c:pt idx="42" formatCode="General">
                  <c:v>68564</c:v>
                </c:pt>
                <c:pt idx="43" formatCode="General">
                  <c:v>63939</c:v>
                </c:pt>
                <c:pt idx="44" formatCode="General">
                  <c:v>69508</c:v>
                </c:pt>
                <c:pt idx="45" formatCode="_(* #,##0_);_(* \(#,##0\);_(* &quot;-&quot;??_);_(@_)">
                  <c:v>225614</c:v>
                </c:pt>
                <c:pt idx="46" formatCode="General">
                  <c:v>50836</c:v>
                </c:pt>
                <c:pt idx="47" formatCode="General">
                  <c:v>63410</c:v>
                </c:pt>
                <c:pt idx="48" formatCode="General">
                  <c:v>59955</c:v>
                </c:pt>
                <c:pt idx="49" formatCode="General">
                  <c:v>67695</c:v>
                </c:pt>
              </c:numCache>
            </c:numRef>
          </c:val>
          <c:smooth val="0"/>
          <c:extLst>
            <c:ext xmlns:c16="http://schemas.microsoft.com/office/drawing/2014/chart" uri="{C3380CC4-5D6E-409C-BE32-E72D297353CC}">
              <c16:uniqueId val="{00000002-C01F-44DA-90F3-1C1988FCEA4C}"/>
            </c:ext>
          </c:extLst>
        </c:ser>
        <c:dLbls>
          <c:showLegendKey val="0"/>
          <c:showVal val="0"/>
          <c:showCatName val="0"/>
          <c:showSerName val="0"/>
          <c:showPercent val="0"/>
          <c:showBubbleSize val="0"/>
        </c:dLbls>
        <c:marker val="1"/>
        <c:smooth val="0"/>
        <c:axId val="102535552"/>
        <c:axId val="102537088"/>
      </c:lineChart>
      <c:catAx>
        <c:axId val="102535552"/>
        <c:scaling>
          <c:orientation val="minMax"/>
        </c:scaling>
        <c:delete val="0"/>
        <c:axPos val="b"/>
        <c:numFmt formatCode="General" sourceLinked="1"/>
        <c:majorTickMark val="out"/>
        <c:minorTickMark val="none"/>
        <c:tickLblPos val="nextTo"/>
        <c:txPr>
          <a:bodyPr/>
          <a:lstStyle/>
          <a:p>
            <a:pPr>
              <a:defRPr sz="900"/>
            </a:pPr>
            <a:endParaRPr lang="en-US"/>
          </a:p>
        </c:txPr>
        <c:crossAx val="102537088"/>
        <c:crosses val="autoZero"/>
        <c:auto val="1"/>
        <c:lblAlgn val="ctr"/>
        <c:lblOffset val="100"/>
        <c:tickLblSkip val="1"/>
        <c:noMultiLvlLbl val="0"/>
      </c:catAx>
      <c:valAx>
        <c:axId val="102537088"/>
        <c:scaling>
          <c:orientation val="minMax"/>
          <c:max val="250000"/>
        </c:scaling>
        <c:delete val="0"/>
        <c:axPos val="l"/>
        <c:majorGridlines/>
        <c:numFmt formatCode="#,##0" sourceLinked="0"/>
        <c:majorTickMark val="out"/>
        <c:minorTickMark val="none"/>
        <c:tickLblPos val="nextTo"/>
        <c:crossAx val="102535552"/>
        <c:crosses val="autoZero"/>
        <c:crossBetween val="between"/>
      </c:valAx>
      <c:spPr>
        <a:solidFill>
          <a:srgbClr val="FFFFFF"/>
        </a:solidFill>
      </c:spPr>
    </c:plotArea>
    <c:legend>
      <c:legendPos val="r"/>
      <c:legendEntry>
        <c:idx val="0"/>
        <c:delete val="1"/>
      </c:legendEntry>
      <c:layout>
        <c:manualLayout>
          <c:xMode val="edge"/>
          <c:yMode val="edge"/>
          <c:x val="0.6173658331831684"/>
          <c:y val="0.35798251411849674"/>
          <c:w val="0.25292069011934781"/>
          <c:h val="0.12845600012792596"/>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3. Components of CT private sector gross job gains and gross  job losses at opening and closing establishments, seasonally adjusted. </a:t>
            </a:r>
            <a:br>
              <a:rPr lang="en-US" sz="950" baseline="0"/>
            </a:br>
            <a:r>
              <a:rPr lang="en-US" sz="950" baseline="0"/>
              <a:t>2009-2021</a:t>
            </a:r>
          </a:p>
          <a:p>
            <a:pPr>
              <a:defRPr/>
            </a:pPr>
            <a:endParaRPr lang="en-US"/>
          </a:p>
        </c:rich>
      </c:tx>
      <c:layout>
        <c:manualLayout>
          <c:xMode val="edge"/>
          <c:yMode val="edge"/>
          <c:x val="9.8304505078922882E-2"/>
          <c:y val="0"/>
        </c:manualLayout>
      </c:layout>
      <c:overlay val="0"/>
    </c:title>
    <c:autoTitleDeleted val="0"/>
    <c:plotArea>
      <c:layout>
        <c:manualLayout>
          <c:layoutTarget val="inner"/>
          <c:xMode val="edge"/>
          <c:yMode val="edge"/>
          <c:x val="0.13525240594925633"/>
          <c:y val="0.17818314377369496"/>
          <c:w val="0.82469754845538779"/>
          <c:h val="0.5910632407757481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1-3'!$D$72:$D$121</c:f>
              <c:numCache>
                <c:formatCode>General</c:formatCode>
                <c:ptCount val="50"/>
                <c:pt idx="0">
                  <c:v>40000</c:v>
                </c:pt>
                <c:pt idx="1">
                  <c:v>40000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40000</c:v>
                </c:pt>
                <c:pt idx="45">
                  <c:v>40000</c:v>
                </c:pt>
                <c:pt idx="46">
                  <c:v>0</c:v>
                </c:pt>
                <c:pt idx="47">
                  <c:v>0</c:v>
                </c:pt>
                <c:pt idx="48">
                  <c:v>0</c:v>
                </c:pt>
                <c:pt idx="49">
                  <c:v>0</c:v>
                </c:pt>
              </c:numCache>
            </c:numRef>
          </c:val>
          <c:extLst>
            <c:ext xmlns:c16="http://schemas.microsoft.com/office/drawing/2014/chart" uri="{C3380CC4-5D6E-409C-BE32-E72D297353CC}">
              <c16:uniqueId val="{00000000-EB79-4DC7-85F8-32D64898BC2B}"/>
            </c:ext>
          </c:extLst>
        </c:ser>
        <c:dLbls>
          <c:showLegendKey val="0"/>
          <c:showVal val="0"/>
          <c:showCatName val="0"/>
          <c:showSerName val="0"/>
          <c:showPercent val="0"/>
          <c:showBubbleSize val="0"/>
        </c:dLbls>
        <c:gapWidth val="0"/>
        <c:axId val="105158528"/>
        <c:axId val="105160064"/>
      </c:barChart>
      <c:lineChart>
        <c:grouping val="standard"/>
        <c:varyColors val="0"/>
        <c:ser>
          <c:idx val="0"/>
          <c:order val="0"/>
          <c:tx>
            <c:strRef>
              <c:f>'Chart 1-3'!$P$5</c:f>
              <c:strCache>
                <c:ptCount val="1"/>
                <c:pt idx="0">
                  <c:v>Opening</c:v>
                </c:pt>
              </c:strCache>
            </c:strRef>
          </c:tx>
          <c:spPr>
            <a:ln>
              <a:solidFill>
                <a:srgbClr val="00B050"/>
              </a:solidFill>
            </a:ln>
          </c:spPr>
          <c:marker>
            <c:symbol val="none"/>
          </c:marker>
          <c:cat>
            <c:multiLvlStrRef>
              <c:f>'Chart 1-3'!$H$72:$I$121</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1-3'!$P$72:$P$121</c:f>
              <c:numCache>
                <c:formatCode>#,##0</c:formatCode>
                <c:ptCount val="50"/>
                <c:pt idx="0">
                  <c:v>9474</c:v>
                </c:pt>
                <c:pt idx="1">
                  <c:v>8529</c:v>
                </c:pt>
                <c:pt idx="2">
                  <c:v>9261</c:v>
                </c:pt>
                <c:pt idx="3">
                  <c:v>9241</c:v>
                </c:pt>
                <c:pt idx="4">
                  <c:v>8991</c:v>
                </c:pt>
                <c:pt idx="5">
                  <c:v>15063</c:v>
                </c:pt>
                <c:pt idx="6">
                  <c:v>9916</c:v>
                </c:pt>
                <c:pt idx="7">
                  <c:v>9856</c:v>
                </c:pt>
                <c:pt idx="8">
                  <c:v>8246</c:v>
                </c:pt>
                <c:pt idx="9">
                  <c:v>10841</c:v>
                </c:pt>
                <c:pt idx="10">
                  <c:v>10731</c:v>
                </c:pt>
                <c:pt idx="11">
                  <c:v>10103</c:v>
                </c:pt>
                <c:pt idx="12">
                  <c:v>10096</c:v>
                </c:pt>
                <c:pt idx="13">
                  <c:v>10307</c:v>
                </c:pt>
                <c:pt idx="14">
                  <c:v>10159</c:v>
                </c:pt>
                <c:pt idx="15">
                  <c:v>10331</c:v>
                </c:pt>
                <c:pt idx="16">
                  <c:v>9592</c:v>
                </c:pt>
                <c:pt idx="17">
                  <c:v>11354</c:v>
                </c:pt>
                <c:pt idx="18">
                  <c:v>10043</c:v>
                </c:pt>
                <c:pt idx="19">
                  <c:v>10437</c:v>
                </c:pt>
                <c:pt idx="20">
                  <c:v>8635</c:v>
                </c:pt>
                <c:pt idx="21">
                  <c:v>12655</c:v>
                </c:pt>
                <c:pt idx="22">
                  <c:v>10074</c:v>
                </c:pt>
                <c:pt idx="23">
                  <c:v>10096</c:v>
                </c:pt>
                <c:pt idx="24">
                  <c:v>8084</c:v>
                </c:pt>
                <c:pt idx="25">
                  <c:v>10722</c:v>
                </c:pt>
                <c:pt idx="26">
                  <c:v>10515</c:v>
                </c:pt>
                <c:pt idx="27">
                  <c:v>10931</c:v>
                </c:pt>
                <c:pt idx="28">
                  <c:v>9916</c:v>
                </c:pt>
                <c:pt idx="29">
                  <c:v>8862</c:v>
                </c:pt>
                <c:pt idx="30">
                  <c:v>9794</c:v>
                </c:pt>
                <c:pt idx="31">
                  <c:v>10469</c:v>
                </c:pt>
                <c:pt idx="32">
                  <c:v>10588</c:v>
                </c:pt>
                <c:pt idx="33">
                  <c:v>10403</c:v>
                </c:pt>
                <c:pt idx="34">
                  <c:v>10804</c:v>
                </c:pt>
                <c:pt idx="35" formatCode="General">
                  <c:v>10452</c:v>
                </c:pt>
                <c:pt idx="36" formatCode="General">
                  <c:v>12035</c:v>
                </c:pt>
                <c:pt idx="37" formatCode="General">
                  <c:v>11859</c:v>
                </c:pt>
                <c:pt idx="38" formatCode="General">
                  <c:v>11638</c:v>
                </c:pt>
                <c:pt idx="39" formatCode="General">
                  <c:v>10586</c:v>
                </c:pt>
                <c:pt idx="40" formatCode="General">
                  <c:v>10883</c:v>
                </c:pt>
                <c:pt idx="41" formatCode="General">
                  <c:v>15822</c:v>
                </c:pt>
                <c:pt idx="42" formatCode="General">
                  <c:v>16681</c:v>
                </c:pt>
                <c:pt idx="43" formatCode="General">
                  <c:v>12908</c:v>
                </c:pt>
                <c:pt idx="44" formatCode="General">
                  <c:v>24488</c:v>
                </c:pt>
                <c:pt idx="45" formatCode="_(* #,##0_);_(* \(#,##0\);_(* &quot;-&quot;??_);_(@_)">
                  <c:v>15313</c:v>
                </c:pt>
                <c:pt idx="46" formatCode="General">
                  <c:v>26050</c:v>
                </c:pt>
                <c:pt idx="47" formatCode="General">
                  <c:v>17599</c:v>
                </c:pt>
                <c:pt idx="48" formatCode="General">
                  <c:v>16730</c:v>
                </c:pt>
                <c:pt idx="49" formatCode="General">
                  <c:v>19559</c:v>
                </c:pt>
              </c:numCache>
            </c:numRef>
          </c:val>
          <c:smooth val="0"/>
          <c:extLst>
            <c:ext xmlns:c16="http://schemas.microsoft.com/office/drawing/2014/chart" uri="{C3380CC4-5D6E-409C-BE32-E72D297353CC}">
              <c16:uniqueId val="{00000001-EB79-4DC7-85F8-32D64898BC2B}"/>
            </c:ext>
          </c:extLst>
        </c:ser>
        <c:ser>
          <c:idx val="1"/>
          <c:order val="1"/>
          <c:tx>
            <c:strRef>
              <c:f>'Chart 1-3'!$S$5</c:f>
              <c:strCache>
                <c:ptCount val="1"/>
                <c:pt idx="0">
                  <c:v>Closing</c:v>
                </c:pt>
              </c:strCache>
            </c:strRef>
          </c:tx>
          <c:spPr>
            <a:ln>
              <a:solidFill>
                <a:srgbClr val="7030A0"/>
              </a:solidFill>
              <a:prstDash val="solid"/>
            </a:ln>
          </c:spPr>
          <c:marker>
            <c:symbol val="none"/>
          </c:marker>
          <c:cat>
            <c:multiLvlStrRef>
              <c:f>'Chart 1-3'!$H$72:$I$121</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1-3'!$S$72:$S$121</c:f>
              <c:numCache>
                <c:formatCode>#,##0</c:formatCode>
                <c:ptCount val="50"/>
                <c:pt idx="0">
                  <c:v>10367</c:v>
                </c:pt>
                <c:pt idx="1">
                  <c:v>10621</c:v>
                </c:pt>
                <c:pt idx="2">
                  <c:v>10847</c:v>
                </c:pt>
                <c:pt idx="3">
                  <c:v>8046</c:v>
                </c:pt>
                <c:pt idx="4">
                  <c:v>16707</c:v>
                </c:pt>
                <c:pt idx="5">
                  <c:v>5793</c:v>
                </c:pt>
                <c:pt idx="6">
                  <c:v>5478</c:v>
                </c:pt>
                <c:pt idx="7">
                  <c:v>9005</c:v>
                </c:pt>
                <c:pt idx="8">
                  <c:v>9244</c:v>
                </c:pt>
                <c:pt idx="9">
                  <c:v>8414</c:v>
                </c:pt>
                <c:pt idx="10">
                  <c:v>7027</c:v>
                </c:pt>
                <c:pt idx="11">
                  <c:v>8437</c:v>
                </c:pt>
                <c:pt idx="12">
                  <c:v>9055</c:v>
                </c:pt>
                <c:pt idx="13">
                  <c:v>8993</c:v>
                </c:pt>
                <c:pt idx="14">
                  <c:v>9317</c:v>
                </c:pt>
                <c:pt idx="15">
                  <c:v>8530</c:v>
                </c:pt>
                <c:pt idx="16">
                  <c:v>9923</c:v>
                </c:pt>
                <c:pt idx="17">
                  <c:v>8180</c:v>
                </c:pt>
                <c:pt idx="18">
                  <c:v>8551</c:v>
                </c:pt>
                <c:pt idx="19">
                  <c:v>9571</c:v>
                </c:pt>
                <c:pt idx="20">
                  <c:v>8881</c:v>
                </c:pt>
                <c:pt idx="21">
                  <c:v>8061</c:v>
                </c:pt>
                <c:pt idx="22">
                  <c:v>9383</c:v>
                </c:pt>
                <c:pt idx="23">
                  <c:v>9303</c:v>
                </c:pt>
                <c:pt idx="24">
                  <c:v>6699</c:v>
                </c:pt>
                <c:pt idx="25">
                  <c:v>8862</c:v>
                </c:pt>
                <c:pt idx="26">
                  <c:v>11174</c:v>
                </c:pt>
                <c:pt idx="27">
                  <c:v>9049</c:v>
                </c:pt>
                <c:pt idx="28">
                  <c:v>7274</c:v>
                </c:pt>
                <c:pt idx="29">
                  <c:v>9825</c:v>
                </c:pt>
                <c:pt idx="30">
                  <c:v>9456</c:v>
                </c:pt>
                <c:pt idx="31">
                  <c:v>8815</c:v>
                </c:pt>
                <c:pt idx="32">
                  <c:v>8338</c:v>
                </c:pt>
                <c:pt idx="33">
                  <c:v>10177</c:v>
                </c:pt>
                <c:pt idx="34">
                  <c:v>11825</c:v>
                </c:pt>
                <c:pt idx="35" formatCode="General">
                  <c:v>10470</c:v>
                </c:pt>
                <c:pt idx="36" formatCode="General">
                  <c:v>9081</c:v>
                </c:pt>
                <c:pt idx="37" formatCode="General">
                  <c:v>9383</c:v>
                </c:pt>
                <c:pt idx="38" formatCode="General">
                  <c:v>11544</c:v>
                </c:pt>
                <c:pt idx="39" formatCode="General">
                  <c:v>9020</c:v>
                </c:pt>
                <c:pt idx="40" formatCode="General">
                  <c:v>17715</c:v>
                </c:pt>
                <c:pt idx="41" formatCode="General">
                  <c:v>14146</c:v>
                </c:pt>
                <c:pt idx="42" formatCode="General">
                  <c:v>14010</c:v>
                </c:pt>
                <c:pt idx="43" formatCode="General">
                  <c:v>16067</c:v>
                </c:pt>
                <c:pt idx="44" formatCode="General">
                  <c:v>16096</c:v>
                </c:pt>
                <c:pt idx="45" formatCode="_(* #,##0_);_(* \(#,##0\);_(* &quot;-&quot;??_);_(@_)">
                  <c:v>37924</c:v>
                </c:pt>
                <c:pt idx="46" formatCode="General">
                  <c:v>15062</c:v>
                </c:pt>
                <c:pt idx="47" formatCode="General">
                  <c:v>16107</c:v>
                </c:pt>
                <c:pt idx="48" formatCode="General">
                  <c:v>11691</c:v>
                </c:pt>
                <c:pt idx="49" formatCode="General">
                  <c:v>12454</c:v>
                </c:pt>
              </c:numCache>
            </c:numRef>
          </c:val>
          <c:smooth val="0"/>
          <c:extLst>
            <c:ext xmlns:c16="http://schemas.microsoft.com/office/drawing/2014/chart" uri="{C3380CC4-5D6E-409C-BE32-E72D297353CC}">
              <c16:uniqueId val="{00000002-EB79-4DC7-85F8-32D64898BC2B}"/>
            </c:ext>
          </c:extLst>
        </c:ser>
        <c:dLbls>
          <c:showLegendKey val="0"/>
          <c:showVal val="0"/>
          <c:showCatName val="0"/>
          <c:showSerName val="0"/>
          <c:showPercent val="0"/>
          <c:showBubbleSize val="0"/>
        </c:dLbls>
        <c:marker val="1"/>
        <c:smooth val="0"/>
        <c:axId val="105158528"/>
        <c:axId val="105160064"/>
      </c:lineChart>
      <c:catAx>
        <c:axId val="105158528"/>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05160064"/>
        <c:crosses val="autoZero"/>
        <c:auto val="1"/>
        <c:lblAlgn val="ctr"/>
        <c:lblOffset val="100"/>
        <c:tickLblSkip val="1"/>
        <c:tickMarkSkip val="1"/>
        <c:noMultiLvlLbl val="0"/>
      </c:catAx>
      <c:valAx>
        <c:axId val="105160064"/>
        <c:scaling>
          <c:orientation val="minMax"/>
          <c:max val="40000"/>
        </c:scaling>
        <c:delete val="0"/>
        <c:axPos val="l"/>
        <c:majorGridlines/>
        <c:numFmt formatCode="#,##0" sourceLinked="0"/>
        <c:majorTickMark val="out"/>
        <c:minorTickMark val="none"/>
        <c:tickLblPos val="nextTo"/>
        <c:crossAx val="105158528"/>
        <c:crosses val="autoZero"/>
        <c:crossBetween val="between"/>
      </c:valAx>
      <c:spPr>
        <a:solidFill>
          <a:srgbClr val="FFFFFF"/>
        </a:solidFill>
      </c:spPr>
    </c:plotArea>
    <c:legend>
      <c:legendPos val="r"/>
      <c:legendEntry>
        <c:idx val="0"/>
        <c:delete val="1"/>
      </c:legendEntry>
      <c:layout>
        <c:manualLayout>
          <c:xMode val="edge"/>
          <c:yMode val="edge"/>
          <c:x val="0.63987561561142237"/>
          <c:y val="0.33806144172627545"/>
          <c:w val="0.242044338425289"/>
          <c:h val="0.13030580034864514"/>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Chart 4. Establishment Births, Deaths, and Net Change</a:t>
            </a:r>
            <a:br>
              <a:rPr lang="en-US" sz="900"/>
            </a:br>
            <a:r>
              <a:rPr lang="en-US" sz="900"/>
              <a:t>2009-2021</a:t>
            </a:r>
          </a:p>
        </c:rich>
      </c:tx>
      <c:layout>
        <c:manualLayout>
          <c:xMode val="edge"/>
          <c:yMode val="edge"/>
          <c:x val="0.26085755957098572"/>
          <c:y val="0"/>
        </c:manualLayout>
      </c:layout>
      <c:overlay val="0"/>
    </c:title>
    <c:autoTitleDeleted val="0"/>
    <c:plotArea>
      <c:layout>
        <c:manualLayout>
          <c:layoutTarget val="inner"/>
          <c:xMode val="edge"/>
          <c:yMode val="edge"/>
          <c:x val="0.11410464994510235"/>
          <c:y val="0.13004864698859331"/>
          <c:w val="0.85573132642893157"/>
          <c:h val="0.61197802617160735"/>
        </c:manualLayout>
      </c:layout>
      <c:areaChart>
        <c:grouping val="standard"/>
        <c:varyColors val="0"/>
        <c:ser>
          <c:idx val="1"/>
          <c:order val="0"/>
          <c:tx>
            <c:v>Establishment Births</c:v>
          </c:tx>
          <c:spPr>
            <a:solidFill>
              <a:srgbClr val="61CD9A"/>
            </a:solidFill>
            <a:ln w="25400">
              <a:noFill/>
            </a:ln>
          </c:spPr>
          <c:cat>
            <c:multiLvlStrRef>
              <c:f>'Chart 4 Births_Deaths'!$T$76:$U$125</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4 Births_Deaths'!$I$76:$I$125</c:f>
              <c:numCache>
                <c:formatCode>#,##0</c:formatCode>
                <c:ptCount val="50"/>
                <c:pt idx="0">
                  <c:v>1827</c:v>
                </c:pt>
                <c:pt idx="1">
                  <c:v>1717</c:v>
                </c:pt>
                <c:pt idx="2">
                  <c:v>1753</c:v>
                </c:pt>
                <c:pt idx="3">
                  <c:v>1769</c:v>
                </c:pt>
                <c:pt idx="4">
                  <c:v>1844</c:v>
                </c:pt>
                <c:pt idx="5">
                  <c:v>1765</c:v>
                </c:pt>
                <c:pt idx="6">
                  <c:v>1918</c:v>
                </c:pt>
                <c:pt idx="7">
                  <c:v>1965</c:v>
                </c:pt>
                <c:pt idx="8">
                  <c:v>2020</c:v>
                </c:pt>
                <c:pt idx="9">
                  <c:v>1970</c:v>
                </c:pt>
                <c:pt idx="10">
                  <c:v>1905</c:v>
                </c:pt>
                <c:pt idx="11">
                  <c:v>2018</c:v>
                </c:pt>
                <c:pt idx="12">
                  <c:v>2072</c:v>
                </c:pt>
                <c:pt idx="13">
                  <c:v>2265</c:v>
                </c:pt>
                <c:pt idx="14">
                  <c:v>2030</c:v>
                </c:pt>
                <c:pt idx="15">
                  <c:v>2047</c:v>
                </c:pt>
                <c:pt idx="16">
                  <c:v>2115</c:v>
                </c:pt>
                <c:pt idx="17">
                  <c:v>2021</c:v>
                </c:pt>
                <c:pt idx="18">
                  <c:v>2160</c:v>
                </c:pt>
                <c:pt idx="19">
                  <c:v>2000</c:v>
                </c:pt>
                <c:pt idx="20">
                  <c:v>2072</c:v>
                </c:pt>
                <c:pt idx="21">
                  <c:v>2029</c:v>
                </c:pt>
                <c:pt idx="22">
                  <c:v>2150</c:v>
                </c:pt>
                <c:pt idx="23">
                  <c:v>2059</c:v>
                </c:pt>
                <c:pt idx="24">
                  <c:v>1954</c:v>
                </c:pt>
                <c:pt idx="25">
                  <c:v>2284</c:v>
                </c:pt>
                <c:pt idx="26">
                  <c:v>2361</c:v>
                </c:pt>
                <c:pt idx="27">
                  <c:v>2148</c:v>
                </c:pt>
                <c:pt idx="28">
                  <c:v>2093</c:v>
                </c:pt>
                <c:pt idx="29">
                  <c:v>2146</c:v>
                </c:pt>
                <c:pt idx="30">
                  <c:v>2096</c:v>
                </c:pt>
                <c:pt idx="31">
                  <c:v>1992</c:v>
                </c:pt>
                <c:pt idx="32">
                  <c:v>2266</c:v>
                </c:pt>
                <c:pt idx="33">
                  <c:v>2206</c:v>
                </c:pt>
                <c:pt idx="34">
                  <c:v>2243</c:v>
                </c:pt>
                <c:pt idx="35">
                  <c:v>2246</c:v>
                </c:pt>
                <c:pt idx="36">
                  <c:v>2249</c:v>
                </c:pt>
                <c:pt idx="37">
                  <c:v>2308</c:v>
                </c:pt>
                <c:pt idx="38">
                  <c:v>2349</c:v>
                </c:pt>
                <c:pt idx="39">
                  <c:v>2224</c:v>
                </c:pt>
                <c:pt idx="40">
                  <c:v>2445</c:v>
                </c:pt>
                <c:pt idx="41">
                  <c:v>2234</c:v>
                </c:pt>
                <c:pt idx="42">
                  <c:v>2371</c:v>
                </c:pt>
                <c:pt idx="43">
                  <c:v>2158</c:v>
                </c:pt>
                <c:pt idx="44">
                  <c:v>6684</c:v>
                </c:pt>
                <c:pt idx="45">
                  <c:v>2329</c:v>
                </c:pt>
                <c:pt idx="46" formatCode="General">
                  <c:v>3400</c:v>
                </c:pt>
                <c:pt idx="47">
                  <c:v>3675</c:v>
                </c:pt>
                <c:pt idx="48">
                  <c:v>3756</c:v>
                </c:pt>
                <c:pt idx="49">
                  <c:v>4163</c:v>
                </c:pt>
              </c:numCache>
            </c:numRef>
          </c:val>
          <c:extLst>
            <c:ext xmlns:c16="http://schemas.microsoft.com/office/drawing/2014/chart" uri="{C3380CC4-5D6E-409C-BE32-E72D297353CC}">
              <c16:uniqueId val="{00000000-33D1-49C6-854F-2255EE15668F}"/>
            </c:ext>
          </c:extLst>
        </c:ser>
        <c:ser>
          <c:idx val="2"/>
          <c:order val="1"/>
          <c:tx>
            <c:strRef>
              <c:f>'Chart 4 Births_Deaths'!$S$1</c:f>
              <c:strCache>
                <c:ptCount val="1"/>
                <c:pt idx="0">
                  <c:v>Establishment Deaths</c:v>
                </c:pt>
              </c:strCache>
            </c:strRef>
          </c:tx>
          <c:spPr>
            <a:solidFill>
              <a:schemeClr val="accent1">
                <a:lumMod val="60000"/>
                <a:lumOff val="40000"/>
              </a:schemeClr>
            </a:solidFill>
            <a:ln w="25400">
              <a:noFill/>
            </a:ln>
          </c:spPr>
          <c:cat>
            <c:multiLvlStrRef>
              <c:f>'Chart 4 Births_Deaths'!$T$76:$U$125</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4 Births_Deaths'!$S$76:$S$122</c:f>
              <c:numCache>
                <c:formatCode>General</c:formatCode>
                <c:ptCount val="47"/>
                <c:pt idx="0">
                  <c:v>-2522</c:v>
                </c:pt>
                <c:pt idx="1">
                  <c:v>-2656</c:v>
                </c:pt>
                <c:pt idx="2">
                  <c:v>-2471</c:v>
                </c:pt>
                <c:pt idx="3">
                  <c:v>-2213</c:v>
                </c:pt>
                <c:pt idx="4">
                  <c:v>-3628</c:v>
                </c:pt>
                <c:pt idx="5">
                  <c:v>-893</c:v>
                </c:pt>
                <c:pt idx="6">
                  <c:v>-1015</c:v>
                </c:pt>
                <c:pt idx="7">
                  <c:v>-2319</c:v>
                </c:pt>
                <c:pt idx="8">
                  <c:v>-2108</c:v>
                </c:pt>
                <c:pt idx="9">
                  <c:v>-1701</c:v>
                </c:pt>
                <c:pt idx="10">
                  <c:v>-1865</c:v>
                </c:pt>
                <c:pt idx="11">
                  <c:v>-1986</c:v>
                </c:pt>
                <c:pt idx="12">
                  <c:v>-1849</c:v>
                </c:pt>
                <c:pt idx="13">
                  <c:v>-2098</c:v>
                </c:pt>
                <c:pt idx="14">
                  <c:v>-2040</c:v>
                </c:pt>
                <c:pt idx="15">
                  <c:v>-2008</c:v>
                </c:pt>
                <c:pt idx="16">
                  <c:v>-2275</c:v>
                </c:pt>
                <c:pt idx="17">
                  <c:v>-1739</c:v>
                </c:pt>
                <c:pt idx="18">
                  <c:v>-1932</c:v>
                </c:pt>
                <c:pt idx="19">
                  <c:v>-2136</c:v>
                </c:pt>
                <c:pt idx="20">
                  <c:v>-2013</c:v>
                </c:pt>
                <c:pt idx="21">
                  <c:v>-1737</c:v>
                </c:pt>
                <c:pt idx="22">
                  <c:v>-2126</c:v>
                </c:pt>
                <c:pt idx="23">
                  <c:v>-2297</c:v>
                </c:pt>
                <c:pt idx="24">
                  <c:v>-1460</c:v>
                </c:pt>
                <c:pt idx="25">
                  <c:v>-2392</c:v>
                </c:pt>
                <c:pt idx="26">
                  <c:v>-2165</c:v>
                </c:pt>
                <c:pt idx="27">
                  <c:v>-2325</c:v>
                </c:pt>
                <c:pt idx="28">
                  <c:v>-1593</c:v>
                </c:pt>
                <c:pt idx="29">
                  <c:v>-2394</c:v>
                </c:pt>
                <c:pt idx="30">
                  <c:v>-2233</c:v>
                </c:pt>
                <c:pt idx="31">
                  <c:v>-2284</c:v>
                </c:pt>
                <c:pt idx="32">
                  <c:v>-1523</c:v>
                </c:pt>
                <c:pt idx="33">
                  <c:v>-2392</c:v>
                </c:pt>
                <c:pt idx="34">
                  <c:v>-2509</c:v>
                </c:pt>
                <c:pt idx="35">
                  <c:v>-2547</c:v>
                </c:pt>
                <c:pt idx="36">
                  <c:v>-1673</c:v>
                </c:pt>
                <c:pt idx="37">
                  <c:v>-2314</c:v>
                </c:pt>
                <c:pt idx="38">
                  <c:v>-2522</c:v>
                </c:pt>
                <c:pt idx="39">
                  <c:v>-2185</c:v>
                </c:pt>
                <c:pt idx="40">
                  <c:v>-4420</c:v>
                </c:pt>
                <c:pt idx="41">
                  <c:v>-2767</c:v>
                </c:pt>
                <c:pt idx="42">
                  <c:v>-2317</c:v>
                </c:pt>
                <c:pt idx="43">
                  <c:v>-2302</c:v>
                </c:pt>
                <c:pt idx="44">
                  <c:v>-2605</c:v>
                </c:pt>
                <c:pt idx="45">
                  <c:v>-3875</c:v>
                </c:pt>
                <c:pt idx="46">
                  <c:v>-2744</c:v>
                </c:pt>
              </c:numCache>
            </c:numRef>
          </c:val>
          <c:extLst>
            <c:ext xmlns:c16="http://schemas.microsoft.com/office/drawing/2014/chart" uri="{C3380CC4-5D6E-409C-BE32-E72D297353CC}">
              <c16:uniqueId val="{00000001-33D1-49C6-854F-2255EE15668F}"/>
            </c:ext>
          </c:extLst>
        </c:ser>
        <c:dLbls>
          <c:showLegendKey val="0"/>
          <c:showVal val="0"/>
          <c:showCatName val="0"/>
          <c:showSerName val="0"/>
          <c:showPercent val="0"/>
          <c:showBubbleSize val="0"/>
        </c:dLbls>
        <c:axId val="104516224"/>
        <c:axId val="101986688"/>
      </c:areaChart>
      <c:lineChart>
        <c:grouping val="standard"/>
        <c:varyColors val="0"/>
        <c:ser>
          <c:idx val="0"/>
          <c:order val="2"/>
          <c:tx>
            <c:strRef>
              <c:f>'Chart 4 Births_Deaths'!$M$1</c:f>
              <c:strCache>
                <c:ptCount val="1"/>
                <c:pt idx="0">
                  <c:v>Net Change</c:v>
                </c:pt>
              </c:strCache>
            </c:strRef>
          </c:tx>
          <c:spPr>
            <a:ln>
              <a:solidFill>
                <a:schemeClr val="tx2"/>
              </a:solidFill>
            </a:ln>
          </c:spPr>
          <c:marker>
            <c:symbol val="none"/>
          </c:marker>
          <c:dPt>
            <c:idx val="0"/>
            <c:bubble3D val="0"/>
            <c:extLst>
              <c:ext xmlns:c16="http://schemas.microsoft.com/office/drawing/2014/chart" uri="{C3380CC4-5D6E-409C-BE32-E72D297353CC}">
                <c16:uniqueId val="{00000002-33D1-49C6-854F-2255EE15668F}"/>
              </c:ext>
            </c:extLst>
          </c:dPt>
          <c:dPt>
            <c:idx val="1"/>
            <c:bubble3D val="0"/>
            <c:extLst>
              <c:ext xmlns:c16="http://schemas.microsoft.com/office/drawing/2014/chart" uri="{C3380CC4-5D6E-409C-BE32-E72D297353CC}">
                <c16:uniqueId val="{00000003-33D1-49C6-854F-2255EE15668F}"/>
              </c:ext>
            </c:extLst>
          </c:dPt>
          <c:dPt>
            <c:idx val="2"/>
            <c:bubble3D val="0"/>
            <c:extLst>
              <c:ext xmlns:c16="http://schemas.microsoft.com/office/drawing/2014/chart" uri="{C3380CC4-5D6E-409C-BE32-E72D297353CC}">
                <c16:uniqueId val="{00000004-33D1-49C6-854F-2255EE15668F}"/>
              </c:ext>
            </c:extLst>
          </c:dPt>
          <c:dPt>
            <c:idx val="39"/>
            <c:bubble3D val="0"/>
            <c:extLst>
              <c:ext xmlns:c16="http://schemas.microsoft.com/office/drawing/2014/chart" uri="{C3380CC4-5D6E-409C-BE32-E72D297353CC}">
                <c16:uniqueId val="{00000005-33D1-49C6-854F-2255EE15668F}"/>
              </c:ext>
            </c:extLst>
          </c:dPt>
          <c:dPt>
            <c:idx val="40"/>
            <c:bubble3D val="0"/>
            <c:extLst>
              <c:ext xmlns:c16="http://schemas.microsoft.com/office/drawing/2014/chart" uri="{C3380CC4-5D6E-409C-BE32-E72D297353CC}">
                <c16:uniqueId val="{00000006-33D1-49C6-854F-2255EE15668F}"/>
              </c:ext>
            </c:extLst>
          </c:dPt>
          <c:dPt>
            <c:idx val="87"/>
            <c:bubble3D val="0"/>
            <c:extLst>
              <c:ext xmlns:c16="http://schemas.microsoft.com/office/drawing/2014/chart" uri="{C3380CC4-5D6E-409C-BE32-E72D297353CC}">
                <c16:uniqueId val="{00000007-33D1-49C6-854F-2255EE15668F}"/>
              </c:ext>
            </c:extLst>
          </c:dPt>
          <c:dPt>
            <c:idx val="88"/>
            <c:bubble3D val="0"/>
            <c:extLst>
              <c:ext xmlns:c16="http://schemas.microsoft.com/office/drawing/2014/chart" uri="{C3380CC4-5D6E-409C-BE32-E72D297353CC}">
                <c16:uniqueId val="{00000008-33D1-49C6-854F-2255EE15668F}"/>
              </c:ext>
            </c:extLst>
          </c:dPt>
          <c:cat>
            <c:multiLvlStrRef>
              <c:f>'Chart 4 Births_Deaths'!$T$76:$U$125</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4 Births_Deaths'!$M$76:$M$122</c:f>
              <c:numCache>
                <c:formatCode>#,##0;[Red]#,##0</c:formatCode>
                <c:ptCount val="47"/>
                <c:pt idx="0">
                  <c:v>-695</c:v>
                </c:pt>
                <c:pt idx="1">
                  <c:v>-939</c:v>
                </c:pt>
                <c:pt idx="2">
                  <c:v>-718</c:v>
                </c:pt>
                <c:pt idx="3">
                  <c:v>-444</c:v>
                </c:pt>
                <c:pt idx="4">
                  <c:v>-1784</c:v>
                </c:pt>
                <c:pt idx="5">
                  <c:v>872</c:v>
                </c:pt>
                <c:pt idx="6">
                  <c:v>903</c:v>
                </c:pt>
                <c:pt idx="7">
                  <c:v>-354</c:v>
                </c:pt>
                <c:pt idx="8">
                  <c:v>-88</c:v>
                </c:pt>
                <c:pt idx="9">
                  <c:v>269</c:v>
                </c:pt>
                <c:pt idx="10">
                  <c:v>40</c:v>
                </c:pt>
                <c:pt idx="11">
                  <c:v>32</c:v>
                </c:pt>
                <c:pt idx="12">
                  <c:v>223</c:v>
                </c:pt>
                <c:pt idx="13">
                  <c:v>167</c:v>
                </c:pt>
                <c:pt idx="14">
                  <c:v>-10</c:v>
                </c:pt>
                <c:pt idx="15">
                  <c:v>39</c:v>
                </c:pt>
                <c:pt idx="16">
                  <c:v>-160</c:v>
                </c:pt>
                <c:pt idx="17">
                  <c:v>282</c:v>
                </c:pt>
                <c:pt idx="18">
                  <c:v>228</c:v>
                </c:pt>
                <c:pt idx="19">
                  <c:v>-136</c:v>
                </c:pt>
                <c:pt idx="20">
                  <c:v>59</c:v>
                </c:pt>
                <c:pt idx="21">
                  <c:v>292</c:v>
                </c:pt>
                <c:pt idx="22">
                  <c:v>24</c:v>
                </c:pt>
                <c:pt idx="23">
                  <c:v>-238</c:v>
                </c:pt>
                <c:pt idx="24">
                  <c:v>494</c:v>
                </c:pt>
                <c:pt idx="25">
                  <c:v>-108</c:v>
                </c:pt>
                <c:pt idx="26">
                  <c:v>196</c:v>
                </c:pt>
                <c:pt idx="27">
                  <c:v>-177</c:v>
                </c:pt>
                <c:pt idx="28">
                  <c:v>500</c:v>
                </c:pt>
                <c:pt idx="29">
                  <c:v>-248</c:v>
                </c:pt>
                <c:pt idx="30">
                  <c:v>-137</c:v>
                </c:pt>
                <c:pt idx="31">
                  <c:v>-292</c:v>
                </c:pt>
                <c:pt idx="32">
                  <c:v>743</c:v>
                </c:pt>
                <c:pt idx="33">
                  <c:v>-186</c:v>
                </c:pt>
                <c:pt idx="34">
                  <c:v>-266</c:v>
                </c:pt>
                <c:pt idx="35">
                  <c:v>-301</c:v>
                </c:pt>
                <c:pt idx="36">
                  <c:v>576</c:v>
                </c:pt>
                <c:pt idx="37">
                  <c:v>-6</c:v>
                </c:pt>
                <c:pt idx="38">
                  <c:v>-173</c:v>
                </c:pt>
                <c:pt idx="39">
                  <c:v>39</c:v>
                </c:pt>
                <c:pt idx="40">
                  <c:v>-1975</c:v>
                </c:pt>
                <c:pt idx="41">
                  <c:v>-533</c:v>
                </c:pt>
                <c:pt idx="42">
                  <c:v>54</c:v>
                </c:pt>
                <c:pt idx="43">
                  <c:v>-144</c:v>
                </c:pt>
                <c:pt idx="44">
                  <c:v>4079</c:v>
                </c:pt>
                <c:pt idx="45">
                  <c:v>-1546</c:v>
                </c:pt>
                <c:pt idx="46">
                  <c:v>656</c:v>
                </c:pt>
              </c:numCache>
            </c:numRef>
          </c:val>
          <c:smooth val="0"/>
          <c:extLst>
            <c:ext xmlns:c16="http://schemas.microsoft.com/office/drawing/2014/chart" uri="{C3380CC4-5D6E-409C-BE32-E72D297353CC}">
              <c16:uniqueId val="{00000009-33D1-49C6-854F-2255EE15668F}"/>
            </c:ext>
          </c:extLst>
        </c:ser>
        <c:dLbls>
          <c:showLegendKey val="0"/>
          <c:showVal val="0"/>
          <c:showCatName val="0"/>
          <c:showSerName val="0"/>
          <c:showPercent val="0"/>
          <c:showBubbleSize val="0"/>
        </c:dLbls>
        <c:marker val="1"/>
        <c:smooth val="0"/>
        <c:axId val="104516224"/>
        <c:axId val="101986688"/>
      </c:lineChart>
      <c:catAx>
        <c:axId val="104516224"/>
        <c:scaling>
          <c:orientation val="minMax"/>
        </c:scaling>
        <c:delete val="0"/>
        <c:axPos val="b"/>
        <c:numFmt formatCode="#,##0.00" sourceLinked="0"/>
        <c:majorTickMark val="out"/>
        <c:minorTickMark val="none"/>
        <c:tickLblPos val="low"/>
        <c:crossAx val="101986688"/>
        <c:crosses val="autoZero"/>
        <c:auto val="1"/>
        <c:lblAlgn val="ctr"/>
        <c:lblOffset val="100"/>
        <c:noMultiLvlLbl val="0"/>
      </c:catAx>
      <c:valAx>
        <c:axId val="101986688"/>
        <c:scaling>
          <c:orientation val="minMax"/>
        </c:scaling>
        <c:delete val="0"/>
        <c:axPos val="l"/>
        <c:majorGridlines/>
        <c:numFmt formatCode="#,##0" sourceLinked="1"/>
        <c:majorTickMark val="out"/>
        <c:minorTickMark val="none"/>
        <c:tickLblPos val="nextTo"/>
        <c:spPr>
          <a:solidFill>
            <a:srgbClr val="FFFFFF"/>
          </a:solidFill>
        </c:spPr>
        <c:crossAx val="104516224"/>
        <c:crosses val="autoZero"/>
        <c:crossBetween val="between"/>
      </c:valAx>
      <c:spPr>
        <a:solidFill>
          <a:srgbClr val="FFFFFF"/>
        </a:solidFill>
      </c:spPr>
    </c:plotArea>
    <c:legend>
      <c:legendPos val="b"/>
      <c:layout>
        <c:manualLayout>
          <c:xMode val="edge"/>
          <c:yMode val="edge"/>
          <c:x val="8.911022215135557E-2"/>
          <c:y val="0.91619961075140244"/>
          <c:w val="0.8999998920400013"/>
          <c:h val="8.3717191601049873E-2"/>
        </c:manualLayout>
      </c:layout>
      <c:overlay val="0"/>
    </c:legend>
    <c:plotVisOnly val="1"/>
    <c:dispBlanksAs val="zero"/>
    <c:showDLblsOverMax val="0"/>
  </c:chart>
  <c:spPr>
    <a:solidFill>
      <a:srgbClr val="FFFFFF"/>
    </a:solidFill>
    <a:ln>
      <a:solidFill>
        <a:schemeClr val="tx1">
          <a:lumMod val="50000"/>
          <a:lumOff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5. Industry Gross Job Gains and Losses: </a:t>
            </a:r>
            <a:br>
              <a:rPr lang="en-US" sz="950" baseline="0"/>
            </a:br>
            <a:r>
              <a:rPr lang="en-US" sz="950" baseline="0"/>
              <a:t>Second Quarter 2021</a:t>
            </a:r>
            <a:endParaRPr lang="en-US" sz="950"/>
          </a:p>
        </c:rich>
      </c:tx>
      <c:layout>
        <c:manualLayout>
          <c:xMode val="edge"/>
          <c:yMode val="edge"/>
          <c:x val="0.35329994709565415"/>
          <c:y val="1.434113782134849E-2"/>
        </c:manualLayout>
      </c:layout>
      <c:overlay val="0"/>
    </c:title>
    <c:autoTitleDeleted val="0"/>
    <c:plotArea>
      <c:layout>
        <c:manualLayout>
          <c:layoutTarget val="inner"/>
          <c:xMode val="edge"/>
          <c:yMode val="edge"/>
          <c:x val="0.36020868354980273"/>
          <c:y val="0.14526459428990993"/>
          <c:w val="0.59165192766371333"/>
          <c:h val="0.61835984078149175"/>
        </c:manualLayout>
      </c:layout>
      <c:barChart>
        <c:barDir val="bar"/>
        <c:grouping val="clustered"/>
        <c:varyColors val="0"/>
        <c:ser>
          <c:idx val="1"/>
          <c:order val="0"/>
          <c:tx>
            <c:strRef>
              <c:f>'Chart 5 Gross Net'!$C$4</c:f>
              <c:strCache>
                <c:ptCount val="1"/>
                <c:pt idx="0">
                  <c:v>Gross job losses</c:v>
                </c:pt>
              </c:strCache>
            </c:strRef>
          </c:tx>
          <c:invertIfNegative val="0"/>
          <c:cat>
            <c:strRef>
              <c:f>'Chart 5 Gross Net'!$A$5:$A$14</c:f>
              <c:strCache>
                <c:ptCount val="10"/>
                <c:pt idx="0">
                  <c:v>transportation &amp; warehousing</c:v>
                </c:pt>
                <c:pt idx="1">
                  <c:v> wholesale trade</c:v>
                </c:pt>
                <c:pt idx="2">
                  <c:v> manufacturing</c:v>
                </c:pt>
                <c:pt idx="3">
                  <c:v> other services</c:v>
                </c:pt>
                <c:pt idx="4">
                  <c:v> financial activities</c:v>
                </c:pt>
                <c:pt idx="5">
                  <c:v> construction</c:v>
                </c:pt>
                <c:pt idx="6">
                  <c:v> retail trade</c:v>
                </c:pt>
                <c:pt idx="7">
                  <c:v> education &amp; health services</c:v>
                </c:pt>
                <c:pt idx="8">
                  <c:v> professional &amp; business services</c:v>
                </c:pt>
                <c:pt idx="9">
                  <c:v> leisure &amp; hospitality</c:v>
                </c:pt>
              </c:strCache>
            </c:strRef>
          </c:cat>
          <c:val>
            <c:numRef>
              <c:f>'Chart 5 Gross Net'!$C$5:$C$14</c:f>
              <c:numCache>
                <c:formatCode>#,##0</c:formatCode>
                <c:ptCount val="10"/>
                <c:pt idx="0">
                  <c:v>4348</c:v>
                </c:pt>
                <c:pt idx="1">
                  <c:v>3001</c:v>
                </c:pt>
                <c:pt idx="2">
                  <c:v>4237</c:v>
                </c:pt>
                <c:pt idx="3">
                  <c:v>2841</c:v>
                </c:pt>
                <c:pt idx="4">
                  <c:v>5641</c:v>
                </c:pt>
                <c:pt idx="5">
                  <c:v>5985</c:v>
                </c:pt>
                <c:pt idx="6">
                  <c:v>10442</c:v>
                </c:pt>
                <c:pt idx="7">
                  <c:v>14046</c:v>
                </c:pt>
                <c:pt idx="8">
                  <c:v>14633</c:v>
                </c:pt>
                <c:pt idx="9">
                  <c:v>11861</c:v>
                </c:pt>
              </c:numCache>
            </c:numRef>
          </c:val>
          <c:extLst>
            <c:ext xmlns:c16="http://schemas.microsoft.com/office/drawing/2014/chart" uri="{C3380CC4-5D6E-409C-BE32-E72D297353CC}">
              <c16:uniqueId val="{00000000-803D-401A-AE83-9B1B086EB74C}"/>
            </c:ext>
          </c:extLst>
        </c:ser>
        <c:ser>
          <c:idx val="0"/>
          <c:order val="1"/>
          <c:tx>
            <c:strRef>
              <c:f>'Chart 5 Gross Net'!$B$4</c:f>
              <c:strCache>
                <c:ptCount val="1"/>
                <c:pt idx="0">
                  <c:v>Gross job gains</c:v>
                </c:pt>
              </c:strCache>
            </c:strRef>
          </c:tx>
          <c:invertIfNegative val="0"/>
          <c:cat>
            <c:strRef>
              <c:f>'Chart 5 Gross Net'!$A$5:$A$14</c:f>
              <c:strCache>
                <c:ptCount val="10"/>
                <c:pt idx="0">
                  <c:v>transportation &amp; warehousing</c:v>
                </c:pt>
                <c:pt idx="1">
                  <c:v> wholesale trade</c:v>
                </c:pt>
                <c:pt idx="2">
                  <c:v> manufacturing</c:v>
                </c:pt>
                <c:pt idx="3">
                  <c:v> other services</c:v>
                </c:pt>
                <c:pt idx="4">
                  <c:v> financial activities</c:v>
                </c:pt>
                <c:pt idx="5">
                  <c:v> construction</c:v>
                </c:pt>
                <c:pt idx="6">
                  <c:v> retail trade</c:v>
                </c:pt>
                <c:pt idx="7">
                  <c:v> education &amp; health services</c:v>
                </c:pt>
                <c:pt idx="8">
                  <c:v> professional &amp; business services</c:v>
                </c:pt>
                <c:pt idx="9">
                  <c:v> leisure &amp; hospitality</c:v>
                </c:pt>
              </c:strCache>
            </c:strRef>
          </c:cat>
          <c:val>
            <c:numRef>
              <c:f>'Chart 5 Gross Net'!$B$5:$B$14</c:f>
              <c:numCache>
                <c:formatCode>#,##0</c:formatCode>
                <c:ptCount val="10"/>
                <c:pt idx="0">
                  <c:v>2839</c:v>
                </c:pt>
                <c:pt idx="1">
                  <c:v>3265</c:v>
                </c:pt>
                <c:pt idx="2">
                  <c:v>4071</c:v>
                </c:pt>
                <c:pt idx="3">
                  <c:v>4097</c:v>
                </c:pt>
                <c:pt idx="4">
                  <c:v>4454</c:v>
                </c:pt>
                <c:pt idx="5">
                  <c:v>5926</c:v>
                </c:pt>
                <c:pt idx="6">
                  <c:v>10272</c:v>
                </c:pt>
                <c:pt idx="7">
                  <c:v>14321</c:v>
                </c:pt>
                <c:pt idx="8">
                  <c:v>16420</c:v>
                </c:pt>
                <c:pt idx="9">
                  <c:v>20075</c:v>
                </c:pt>
              </c:numCache>
            </c:numRef>
          </c:val>
          <c:extLst>
            <c:ext xmlns:c16="http://schemas.microsoft.com/office/drawing/2014/chart" uri="{C3380CC4-5D6E-409C-BE32-E72D297353CC}">
              <c16:uniqueId val="{00000001-803D-401A-AE83-9B1B086EB74C}"/>
            </c:ext>
          </c:extLst>
        </c:ser>
        <c:dLbls>
          <c:showLegendKey val="0"/>
          <c:showVal val="0"/>
          <c:showCatName val="0"/>
          <c:showSerName val="0"/>
          <c:showPercent val="0"/>
          <c:showBubbleSize val="0"/>
        </c:dLbls>
        <c:gapWidth val="150"/>
        <c:axId val="104537472"/>
        <c:axId val="104563840"/>
      </c:barChart>
      <c:catAx>
        <c:axId val="104537472"/>
        <c:scaling>
          <c:orientation val="minMax"/>
        </c:scaling>
        <c:delete val="0"/>
        <c:axPos val="l"/>
        <c:numFmt formatCode="General" sourceLinked="1"/>
        <c:majorTickMark val="out"/>
        <c:minorTickMark val="none"/>
        <c:tickLblPos val="nextTo"/>
        <c:crossAx val="104563840"/>
        <c:crosses val="autoZero"/>
        <c:auto val="1"/>
        <c:lblAlgn val="ctr"/>
        <c:lblOffset val="100"/>
        <c:noMultiLvlLbl val="0"/>
      </c:catAx>
      <c:valAx>
        <c:axId val="104563840"/>
        <c:scaling>
          <c:orientation val="minMax"/>
        </c:scaling>
        <c:delete val="0"/>
        <c:axPos val="b"/>
        <c:majorGridlines/>
        <c:title>
          <c:tx>
            <c:rich>
              <a:bodyPr/>
              <a:lstStyle/>
              <a:p>
                <a:pPr>
                  <a:defRPr sz="950"/>
                </a:pPr>
                <a:r>
                  <a:rPr lang="en-US" sz="950"/>
                  <a:t>Employment</a:t>
                </a:r>
              </a:p>
            </c:rich>
          </c:tx>
          <c:layout>
            <c:manualLayout>
              <c:xMode val="edge"/>
              <c:yMode val="edge"/>
              <c:x val="0.53723140771787092"/>
              <c:y val="0.85931723766317292"/>
            </c:manualLayout>
          </c:layout>
          <c:overlay val="0"/>
        </c:title>
        <c:numFmt formatCode="#,##0" sourceLinked="0"/>
        <c:majorTickMark val="out"/>
        <c:minorTickMark val="none"/>
        <c:tickLblPos val="nextTo"/>
        <c:crossAx val="104537472"/>
        <c:crosses val="autoZero"/>
        <c:crossBetween val="between"/>
      </c:valAx>
      <c:spPr>
        <a:solidFill>
          <a:srgbClr val="FFFFFF"/>
        </a:solidFill>
      </c:spPr>
    </c:plotArea>
    <c:legend>
      <c:legendPos val="b"/>
      <c:layout>
        <c:manualLayout>
          <c:xMode val="edge"/>
          <c:yMode val="edge"/>
          <c:x val="0.35892588768869638"/>
          <c:y val="0.91244511654586224"/>
          <c:w val="0.47898074384537548"/>
          <c:h val="7.9836262189080673E-2"/>
        </c:manualLayout>
      </c:layout>
      <c:overlay val="0"/>
    </c:legend>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2022-01-26T16:53:00Z</cp:lastPrinted>
  <dcterms:created xsi:type="dcterms:W3CDTF">2022-01-27T15:48:00Z</dcterms:created>
  <dcterms:modified xsi:type="dcterms:W3CDTF">2022-01-27T15:48:00Z</dcterms:modified>
</cp:coreProperties>
</file>